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B4" w:rsidRDefault="00E952B4" w:rsidP="004E5075">
      <w:pPr>
        <w:autoSpaceDE w:val="0"/>
        <w:autoSpaceDN w:val="0"/>
      </w:pPr>
    </w:p>
    <w:p w:rsidR="00E952B4" w:rsidRDefault="001A04D8" w:rsidP="00E952B4">
      <w:r>
        <w:rPr>
          <w:noProof/>
        </w:rPr>
        <w:drawing>
          <wp:inline distT="0" distB="0" distL="0" distR="0" wp14:anchorId="0F25FB6E" wp14:editId="3F2B62DC">
            <wp:extent cx="3361944" cy="856488"/>
            <wp:effectExtent l="19050" t="0" r="0" b="0"/>
            <wp:docPr id="1" name="Picture 0" descr="CornerstoneHomeLendingCLD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HomeLendingCLD_logo_300dpi.jpg"/>
                    <pic:cNvPicPr/>
                  </pic:nvPicPr>
                  <pic:blipFill>
                    <a:blip r:embed="rId7" cstate="print"/>
                    <a:stretch>
                      <a:fillRect/>
                    </a:stretch>
                  </pic:blipFill>
                  <pic:spPr>
                    <a:xfrm>
                      <a:off x="0" y="0"/>
                      <a:ext cx="3361944" cy="856488"/>
                    </a:xfrm>
                    <a:prstGeom prst="rect">
                      <a:avLst/>
                    </a:prstGeom>
                  </pic:spPr>
                </pic:pic>
              </a:graphicData>
            </a:graphic>
          </wp:inline>
        </w:drawing>
      </w:r>
    </w:p>
    <w:p w:rsidR="00E952B4" w:rsidRPr="00A844F8" w:rsidRDefault="00E952B4" w:rsidP="00E952B4">
      <w:pPr>
        <w:rPr>
          <w:rFonts w:ascii="Arial Rounded MT Bold" w:hAnsi="Arial Rounded MT Bold"/>
          <w:b/>
          <w:sz w:val="20"/>
          <w:szCs w:val="20"/>
        </w:rPr>
      </w:pPr>
    </w:p>
    <w:p w:rsidR="006752A3" w:rsidRPr="00E960DA" w:rsidRDefault="006752A3" w:rsidP="006752A3">
      <w:pPr>
        <w:rPr>
          <w:rFonts w:ascii="Arial" w:hAnsi="Arial" w:cs="Arial"/>
          <w:b/>
          <w:sz w:val="24"/>
          <w:szCs w:val="24"/>
        </w:rPr>
      </w:pPr>
      <w:r>
        <w:rPr>
          <w:rFonts w:ascii="Arial" w:hAnsi="Arial" w:cs="Arial"/>
          <w:b/>
          <w:sz w:val="24"/>
          <w:szCs w:val="24"/>
        </w:rPr>
        <w:t>TO:</w:t>
      </w:r>
      <w:r>
        <w:rPr>
          <w:rFonts w:ascii="Arial" w:hAnsi="Arial" w:cs="Arial"/>
          <w:b/>
          <w:sz w:val="24"/>
          <w:szCs w:val="24"/>
        </w:rPr>
        <w:tab/>
      </w:r>
      <w:r>
        <w:rPr>
          <w:rFonts w:ascii="Arial" w:hAnsi="Arial" w:cs="Arial"/>
          <w:b/>
          <w:sz w:val="24"/>
          <w:szCs w:val="24"/>
        </w:rPr>
        <w:tab/>
      </w:r>
      <w:r w:rsidRPr="00E960DA">
        <w:rPr>
          <w:rFonts w:ascii="Arial" w:hAnsi="Arial" w:cs="Arial"/>
          <w:b/>
          <w:sz w:val="24"/>
          <w:szCs w:val="24"/>
        </w:rPr>
        <w:t>Correspondent Lenders</w:t>
      </w:r>
    </w:p>
    <w:p w:rsidR="006752A3" w:rsidRPr="00E960DA" w:rsidRDefault="006752A3" w:rsidP="006752A3">
      <w:pPr>
        <w:rPr>
          <w:rFonts w:ascii="Arial" w:hAnsi="Arial" w:cs="Arial"/>
          <w:b/>
          <w:sz w:val="24"/>
          <w:szCs w:val="24"/>
        </w:rPr>
      </w:pPr>
    </w:p>
    <w:p w:rsidR="006752A3" w:rsidRPr="00E960DA" w:rsidRDefault="006752A3" w:rsidP="006752A3">
      <w:pPr>
        <w:outlineLvl w:val="0"/>
        <w:rPr>
          <w:rFonts w:ascii="Arial" w:hAnsi="Arial" w:cs="Arial"/>
          <w:b/>
          <w:sz w:val="24"/>
          <w:szCs w:val="24"/>
        </w:rPr>
      </w:pPr>
      <w:r w:rsidRPr="00E960DA">
        <w:rPr>
          <w:rFonts w:ascii="Arial" w:hAnsi="Arial" w:cs="Arial"/>
          <w:b/>
          <w:sz w:val="24"/>
          <w:szCs w:val="24"/>
        </w:rPr>
        <w:t>FROM:</w:t>
      </w:r>
      <w:r w:rsidRPr="00E960DA">
        <w:rPr>
          <w:rFonts w:ascii="Arial" w:hAnsi="Arial" w:cs="Arial"/>
          <w:b/>
          <w:sz w:val="24"/>
          <w:szCs w:val="24"/>
        </w:rPr>
        <w:tab/>
        <w:t>Angela Breidenbach, Operations Manager</w:t>
      </w:r>
    </w:p>
    <w:p w:rsidR="006752A3" w:rsidRPr="00E960DA" w:rsidRDefault="006752A3" w:rsidP="006752A3">
      <w:pPr>
        <w:rPr>
          <w:rFonts w:ascii="Arial" w:hAnsi="Arial" w:cs="Arial"/>
          <w:b/>
          <w:sz w:val="24"/>
          <w:szCs w:val="24"/>
        </w:rPr>
      </w:pPr>
    </w:p>
    <w:p w:rsidR="006752A3" w:rsidRPr="00E960DA" w:rsidRDefault="006752A3" w:rsidP="006752A3">
      <w:pPr>
        <w:rPr>
          <w:rFonts w:ascii="Arial" w:hAnsi="Arial" w:cs="Arial"/>
          <w:b/>
          <w:sz w:val="24"/>
          <w:szCs w:val="24"/>
        </w:rPr>
      </w:pPr>
      <w:r w:rsidRPr="00E960DA">
        <w:rPr>
          <w:rFonts w:ascii="Arial" w:hAnsi="Arial" w:cs="Arial"/>
          <w:b/>
          <w:sz w:val="24"/>
          <w:szCs w:val="24"/>
        </w:rPr>
        <w:t>DATE</w:t>
      </w:r>
      <w:r w:rsidRPr="00E960DA">
        <w:rPr>
          <w:rFonts w:ascii="Arial" w:hAnsi="Arial" w:cs="Arial"/>
          <w:b/>
          <w:sz w:val="24"/>
          <w:szCs w:val="24"/>
        </w:rPr>
        <w:tab/>
      </w:r>
      <w:r w:rsidRPr="00E960DA">
        <w:rPr>
          <w:rFonts w:ascii="Arial" w:hAnsi="Arial" w:cs="Arial"/>
          <w:b/>
          <w:sz w:val="24"/>
          <w:szCs w:val="24"/>
        </w:rPr>
        <w:tab/>
      </w:r>
      <w:r w:rsidR="00E82733">
        <w:rPr>
          <w:rFonts w:ascii="Arial" w:hAnsi="Arial" w:cs="Arial"/>
          <w:b/>
          <w:sz w:val="24"/>
          <w:szCs w:val="24"/>
        </w:rPr>
        <w:t>September 24, 2015</w:t>
      </w:r>
      <w:bookmarkStart w:id="0" w:name="_GoBack"/>
      <w:bookmarkEnd w:id="0"/>
    </w:p>
    <w:p w:rsidR="006752A3" w:rsidRPr="00E960DA" w:rsidRDefault="006752A3" w:rsidP="006752A3">
      <w:pPr>
        <w:rPr>
          <w:rFonts w:ascii="Arial" w:hAnsi="Arial" w:cs="Arial"/>
          <w:b/>
          <w:sz w:val="24"/>
          <w:szCs w:val="24"/>
        </w:rPr>
      </w:pPr>
    </w:p>
    <w:p w:rsidR="003E6C7E" w:rsidRPr="006752A3" w:rsidRDefault="006752A3" w:rsidP="006752A3">
      <w:pPr>
        <w:rPr>
          <w:rFonts w:ascii="Arial" w:hAnsi="Arial" w:cs="Arial"/>
          <w:b/>
          <w:sz w:val="24"/>
          <w:szCs w:val="24"/>
        </w:rPr>
      </w:pPr>
      <w:r w:rsidRPr="00E960DA">
        <w:rPr>
          <w:rFonts w:ascii="Arial" w:hAnsi="Arial" w:cs="Arial"/>
          <w:b/>
          <w:sz w:val="24"/>
          <w:szCs w:val="24"/>
        </w:rPr>
        <w:t>RE:</w:t>
      </w:r>
      <w:r w:rsidRPr="00E960DA">
        <w:rPr>
          <w:rFonts w:ascii="Arial" w:hAnsi="Arial" w:cs="Arial"/>
          <w:b/>
          <w:sz w:val="24"/>
          <w:szCs w:val="24"/>
        </w:rPr>
        <w:tab/>
      </w:r>
      <w:r w:rsidRPr="00E960DA">
        <w:rPr>
          <w:rFonts w:ascii="Arial" w:hAnsi="Arial" w:cs="Arial"/>
          <w:b/>
          <w:sz w:val="24"/>
          <w:szCs w:val="24"/>
        </w:rPr>
        <w:tab/>
      </w:r>
      <w:r w:rsidR="00FC7C4C" w:rsidRPr="00FC7C4C">
        <w:rPr>
          <w:rFonts w:ascii="Arial" w:hAnsi="Arial" w:cs="Arial"/>
          <w:b/>
          <w:sz w:val="24"/>
          <w:szCs w:val="24"/>
          <w:u w:val="single"/>
        </w:rPr>
        <w:t>TRID Implementation</w:t>
      </w:r>
    </w:p>
    <w:p w:rsidR="00FC7C4C" w:rsidRDefault="00FC7C4C" w:rsidP="00FC7C4C">
      <w:pPr>
        <w:jc w:val="center"/>
        <w:rPr>
          <w:rFonts w:ascii="Arial" w:hAnsi="Arial" w:cs="Arial"/>
          <w:b/>
          <w:sz w:val="24"/>
          <w:szCs w:val="24"/>
          <w:u w:val="single"/>
        </w:rPr>
      </w:pPr>
    </w:p>
    <w:p w:rsidR="00C8178F" w:rsidRDefault="00C8178F" w:rsidP="00C8178F">
      <w:pPr>
        <w:rPr>
          <w:rFonts w:ascii="Arial" w:hAnsi="Arial" w:cs="Arial"/>
          <w:sz w:val="24"/>
          <w:szCs w:val="24"/>
          <w:u w:val="single"/>
        </w:rPr>
      </w:pPr>
      <w:r>
        <w:rPr>
          <w:rFonts w:ascii="Arial" w:hAnsi="Arial" w:cs="Arial"/>
          <w:sz w:val="24"/>
          <w:szCs w:val="24"/>
        </w:rPr>
        <w:t xml:space="preserve">The long awaited, although perhaps not much anticipated, implementation of TRID is upon us and is </w:t>
      </w:r>
      <w:r>
        <w:rPr>
          <w:rFonts w:ascii="Arial" w:hAnsi="Arial" w:cs="Arial"/>
          <w:b/>
          <w:sz w:val="24"/>
          <w:szCs w:val="24"/>
        </w:rPr>
        <w:t>effective with all loan applications taken on, or after, October 3, 2015</w:t>
      </w:r>
      <w:r>
        <w:rPr>
          <w:rFonts w:ascii="Arial" w:hAnsi="Arial" w:cs="Arial"/>
          <w:sz w:val="24"/>
          <w:szCs w:val="24"/>
        </w:rPr>
        <w:t xml:space="preserve">. The following information is intended to provide some basic information and guidance regarding what Cornerstone will be requiring and reviewing. </w:t>
      </w:r>
      <w:r>
        <w:rPr>
          <w:rFonts w:ascii="Arial" w:hAnsi="Arial" w:cs="Arial"/>
          <w:b/>
          <w:sz w:val="24"/>
          <w:szCs w:val="24"/>
          <w:u w:val="single"/>
        </w:rPr>
        <w:t>Please</w:t>
      </w:r>
      <w:r>
        <w:rPr>
          <w:rFonts w:ascii="Arial" w:hAnsi="Arial" w:cs="Arial"/>
          <w:sz w:val="24"/>
          <w:szCs w:val="24"/>
          <w:u w:val="single"/>
        </w:rPr>
        <w:t xml:space="preserve"> take time to read and understand all of the information provided in this communication.</w:t>
      </w:r>
    </w:p>
    <w:p w:rsidR="00C8178F" w:rsidRDefault="00C8178F" w:rsidP="00C8178F">
      <w:pPr>
        <w:rPr>
          <w:rFonts w:ascii="Arial" w:hAnsi="Arial" w:cs="Arial"/>
          <w:sz w:val="24"/>
          <w:szCs w:val="24"/>
          <w:u w:val="single"/>
        </w:rPr>
      </w:pPr>
    </w:p>
    <w:p w:rsidR="00C8178F" w:rsidRDefault="00C8178F" w:rsidP="00C8178F">
      <w:pPr>
        <w:rPr>
          <w:rFonts w:ascii="Arial" w:hAnsi="Arial" w:cs="Arial"/>
          <w:b/>
          <w:sz w:val="24"/>
          <w:szCs w:val="24"/>
          <w:u w:val="single"/>
        </w:rPr>
      </w:pPr>
      <w:r>
        <w:rPr>
          <w:rFonts w:ascii="Arial" w:hAnsi="Arial" w:cs="Arial"/>
          <w:b/>
          <w:sz w:val="24"/>
          <w:szCs w:val="24"/>
          <w:u w:val="single"/>
        </w:rPr>
        <w:t>Process Flow</w:t>
      </w:r>
    </w:p>
    <w:p w:rsidR="00C8178F" w:rsidRDefault="00C8178F" w:rsidP="00C8178F">
      <w:pPr>
        <w:rPr>
          <w:rFonts w:ascii="Arial" w:hAnsi="Arial" w:cs="Arial"/>
          <w:sz w:val="24"/>
          <w:szCs w:val="24"/>
        </w:rPr>
      </w:pPr>
    </w:p>
    <w:p w:rsidR="00C8178F" w:rsidRDefault="00C8178F" w:rsidP="00C8178F">
      <w:pPr>
        <w:rPr>
          <w:rFonts w:ascii="Arial" w:hAnsi="Arial" w:cs="Arial"/>
          <w:sz w:val="24"/>
          <w:szCs w:val="24"/>
        </w:rPr>
      </w:pPr>
      <w:r>
        <w:rPr>
          <w:rFonts w:ascii="Arial" w:hAnsi="Arial" w:cs="Arial"/>
          <w:sz w:val="24"/>
          <w:szCs w:val="24"/>
        </w:rPr>
        <w:t>Please note that, just like your internal work processes will be affected by TRID, Cornerstone’s work processes will be affected by TRID.</w:t>
      </w:r>
    </w:p>
    <w:p w:rsidR="00C8178F" w:rsidRDefault="00C8178F" w:rsidP="00C8178F">
      <w:pPr>
        <w:rPr>
          <w:rFonts w:ascii="Arial" w:hAnsi="Arial" w:cs="Arial"/>
          <w:sz w:val="24"/>
          <w:szCs w:val="24"/>
        </w:rPr>
      </w:pPr>
    </w:p>
    <w:p w:rsidR="00C8178F" w:rsidRDefault="00C8178F" w:rsidP="00C8178F">
      <w:pPr>
        <w:rPr>
          <w:rFonts w:ascii="Arial" w:hAnsi="Arial" w:cs="Arial"/>
          <w:sz w:val="24"/>
          <w:szCs w:val="24"/>
        </w:rPr>
      </w:pPr>
      <w:r>
        <w:rPr>
          <w:rFonts w:ascii="Arial" w:hAnsi="Arial" w:cs="Arial"/>
          <w:sz w:val="24"/>
          <w:szCs w:val="24"/>
        </w:rPr>
        <w:t xml:space="preserve">We will be reviewing the contents of the Loan Estimates, revised Loan Estimates, Closing Disclosures, and revised Closing Disclosures to confirm completeness and accuracy. This will add an extra step to our review process. So, we are asking for your patience through the transition period. Likewise, please don’t hesitate to contact us if you need help. </w:t>
      </w:r>
      <w:r>
        <w:rPr>
          <w:rFonts w:ascii="Arial" w:hAnsi="Arial" w:cs="Arial"/>
          <w:b/>
          <w:sz w:val="24"/>
          <w:szCs w:val="24"/>
        </w:rPr>
        <w:t>Although we cannot provide legal advice</w:t>
      </w:r>
      <w:r>
        <w:rPr>
          <w:rFonts w:ascii="Arial" w:hAnsi="Arial" w:cs="Arial"/>
          <w:sz w:val="24"/>
          <w:szCs w:val="24"/>
        </w:rPr>
        <w:t>, we are happy to assist you with basic questions.</w:t>
      </w:r>
    </w:p>
    <w:p w:rsidR="00C8178F" w:rsidRDefault="00C8178F" w:rsidP="00C8178F">
      <w:pPr>
        <w:rPr>
          <w:rFonts w:ascii="Arial" w:hAnsi="Arial" w:cs="Arial"/>
          <w:sz w:val="24"/>
          <w:szCs w:val="24"/>
        </w:rPr>
      </w:pPr>
    </w:p>
    <w:p w:rsidR="00C8178F" w:rsidRDefault="00C8178F" w:rsidP="00C8178F">
      <w:pPr>
        <w:rPr>
          <w:rFonts w:ascii="Arial" w:hAnsi="Arial" w:cs="Arial"/>
          <w:b/>
          <w:sz w:val="24"/>
          <w:szCs w:val="24"/>
          <w:u w:val="single"/>
        </w:rPr>
      </w:pPr>
      <w:r>
        <w:rPr>
          <w:rFonts w:ascii="Arial" w:hAnsi="Arial" w:cs="Arial"/>
          <w:b/>
          <w:sz w:val="24"/>
          <w:szCs w:val="24"/>
          <w:u w:val="single"/>
        </w:rPr>
        <w:t>Items We Require</w:t>
      </w:r>
    </w:p>
    <w:p w:rsidR="00C8178F" w:rsidRDefault="00C8178F" w:rsidP="00C8178F">
      <w:pPr>
        <w:rPr>
          <w:rFonts w:ascii="Arial" w:hAnsi="Arial" w:cs="Arial"/>
          <w:b/>
          <w:sz w:val="24"/>
          <w:szCs w:val="24"/>
          <w:u w:val="single"/>
        </w:rPr>
      </w:pPr>
    </w:p>
    <w:p w:rsidR="00C8178F" w:rsidRDefault="00C8178F" w:rsidP="00C8178F">
      <w:pPr>
        <w:pStyle w:val="ListParagraph"/>
        <w:numPr>
          <w:ilvl w:val="0"/>
          <w:numId w:val="23"/>
        </w:numPr>
        <w:rPr>
          <w:rFonts w:ascii="Arial" w:hAnsi="Arial" w:cs="Arial"/>
          <w:sz w:val="24"/>
          <w:szCs w:val="24"/>
        </w:rPr>
      </w:pPr>
      <w:r>
        <w:rPr>
          <w:rFonts w:ascii="Arial" w:hAnsi="Arial" w:cs="Arial"/>
          <w:sz w:val="24"/>
          <w:szCs w:val="24"/>
        </w:rPr>
        <w:t xml:space="preserve">A completed Cornerstone Submission Checklist </w:t>
      </w:r>
      <w:r>
        <w:rPr>
          <w:rFonts w:ascii="Arial" w:hAnsi="Arial" w:cs="Arial"/>
          <w:b/>
          <w:sz w:val="24"/>
          <w:szCs w:val="24"/>
        </w:rPr>
        <w:t>(attached).</w:t>
      </w:r>
      <w:r>
        <w:rPr>
          <w:rFonts w:ascii="Arial" w:hAnsi="Arial" w:cs="Arial"/>
          <w:sz w:val="24"/>
          <w:szCs w:val="24"/>
        </w:rPr>
        <w:t xml:space="preserve"> This will be available in the Forms section of the correspondent web-site: </w:t>
      </w:r>
      <w:hyperlink r:id="rId8" w:history="1">
        <w:r>
          <w:rPr>
            <w:rStyle w:val="Hyperlink"/>
            <w:rFonts w:ascii="Arial" w:hAnsi="Arial" w:cs="Arial"/>
            <w:sz w:val="24"/>
            <w:szCs w:val="24"/>
          </w:rPr>
          <w:t>www.chlcorrespondent.com</w:t>
        </w:r>
      </w:hyperlink>
      <w:r>
        <w:rPr>
          <w:rFonts w:ascii="Arial" w:hAnsi="Arial" w:cs="Arial"/>
          <w:sz w:val="24"/>
          <w:szCs w:val="24"/>
        </w:rPr>
        <w:t>. You must use the updated form with applications on, or after October 3, 2015.</w:t>
      </w:r>
    </w:p>
    <w:p w:rsidR="00C8178F" w:rsidRDefault="00C8178F" w:rsidP="00C8178F">
      <w:pPr>
        <w:pStyle w:val="ListParagraph"/>
        <w:numPr>
          <w:ilvl w:val="1"/>
          <w:numId w:val="24"/>
        </w:numPr>
        <w:rPr>
          <w:rFonts w:ascii="Arial" w:hAnsi="Arial" w:cs="Arial"/>
          <w:sz w:val="24"/>
          <w:szCs w:val="24"/>
        </w:rPr>
      </w:pPr>
      <w:r>
        <w:rPr>
          <w:rFonts w:ascii="Arial" w:hAnsi="Arial" w:cs="Arial"/>
          <w:sz w:val="24"/>
          <w:szCs w:val="24"/>
        </w:rPr>
        <w:t>The Mandatory Regulatory section must be completed. Failure to do so will result in purchase delays.</w:t>
      </w:r>
    </w:p>
    <w:p w:rsidR="00C8178F" w:rsidRDefault="00C8178F" w:rsidP="00C8178F">
      <w:pPr>
        <w:pStyle w:val="ListParagraph"/>
        <w:numPr>
          <w:ilvl w:val="2"/>
          <w:numId w:val="24"/>
        </w:numPr>
        <w:rPr>
          <w:rFonts w:ascii="Arial" w:hAnsi="Arial" w:cs="Arial"/>
          <w:sz w:val="24"/>
          <w:szCs w:val="24"/>
        </w:rPr>
      </w:pPr>
      <w:r>
        <w:rPr>
          <w:rFonts w:ascii="Arial" w:hAnsi="Arial" w:cs="Arial"/>
          <w:sz w:val="24"/>
          <w:szCs w:val="24"/>
        </w:rPr>
        <w:t>A separate HOEPA/HMDA/HPML worksheet will no longer be required. It has been implemented into the Mandatory Regulatory Section.</w:t>
      </w:r>
    </w:p>
    <w:p w:rsidR="00C8178F" w:rsidRDefault="00C8178F" w:rsidP="00C8178F">
      <w:pPr>
        <w:pStyle w:val="ListParagraph"/>
        <w:numPr>
          <w:ilvl w:val="2"/>
          <w:numId w:val="24"/>
        </w:numPr>
        <w:rPr>
          <w:rFonts w:ascii="Arial" w:hAnsi="Arial" w:cs="Arial"/>
          <w:sz w:val="24"/>
          <w:szCs w:val="24"/>
        </w:rPr>
      </w:pPr>
      <w:r>
        <w:rPr>
          <w:rFonts w:ascii="Arial" w:hAnsi="Arial" w:cs="Arial"/>
          <w:sz w:val="24"/>
          <w:szCs w:val="24"/>
        </w:rPr>
        <w:t>Completion of the check boxes on pages 2 through 4 is optional</w:t>
      </w:r>
    </w:p>
    <w:p w:rsidR="00C8178F" w:rsidRDefault="00C8178F" w:rsidP="00C8178F">
      <w:pPr>
        <w:pStyle w:val="ListParagraph"/>
        <w:numPr>
          <w:ilvl w:val="0"/>
          <w:numId w:val="23"/>
        </w:numPr>
        <w:rPr>
          <w:rFonts w:ascii="Arial" w:hAnsi="Arial" w:cs="Arial"/>
          <w:sz w:val="24"/>
          <w:szCs w:val="24"/>
        </w:rPr>
      </w:pPr>
      <w:r>
        <w:rPr>
          <w:rFonts w:ascii="Arial" w:hAnsi="Arial" w:cs="Arial"/>
          <w:sz w:val="24"/>
          <w:szCs w:val="24"/>
        </w:rPr>
        <w:t>All Loan Estimates issued to the borrower(s)</w:t>
      </w:r>
    </w:p>
    <w:p w:rsidR="00C8178F" w:rsidRDefault="00C8178F" w:rsidP="00C8178F">
      <w:pPr>
        <w:pStyle w:val="ListParagraph"/>
        <w:numPr>
          <w:ilvl w:val="1"/>
          <w:numId w:val="23"/>
        </w:numPr>
        <w:rPr>
          <w:rFonts w:ascii="Arial" w:hAnsi="Arial" w:cs="Arial"/>
          <w:sz w:val="24"/>
          <w:szCs w:val="24"/>
        </w:rPr>
      </w:pPr>
      <w:r>
        <w:rPr>
          <w:rFonts w:ascii="Arial" w:hAnsi="Arial" w:cs="Arial"/>
          <w:sz w:val="24"/>
          <w:szCs w:val="24"/>
        </w:rPr>
        <w:t>A Changed Circumstance must accompany all re-disclosed Loan Estimates.</w:t>
      </w:r>
    </w:p>
    <w:p w:rsidR="00C8178F" w:rsidRDefault="00C8178F" w:rsidP="00C8178F">
      <w:pPr>
        <w:pStyle w:val="ListParagraph"/>
        <w:numPr>
          <w:ilvl w:val="0"/>
          <w:numId w:val="23"/>
        </w:numPr>
        <w:rPr>
          <w:rFonts w:ascii="Arial" w:hAnsi="Arial" w:cs="Arial"/>
          <w:sz w:val="24"/>
          <w:szCs w:val="24"/>
        </w:rPr>
      </w:pPr>
      <w:r>
        <w:rPr>
          <w:rFonts w:ascii="Arial" w:hAnsi="Arial" w:cs="Arial"/>
          <w:sz w:val="24"/>
          <w:szCs w:val="24"/>
        </w:rPr>
        <w:t>The Written List of Providers that was given to the borrower with the initial Loan Estimate</w:t>
      </w:r>
    </w:p>
    <w:p w:rsidR="00C8178F" w:rsidRDefault="00C8178F" w:rsidP="00C8178F">
      <w:pPr>
        <w:pStyle w:val="ListParagraph"/>
        <w:numPr>
          <w:ilvl w:val="0"/>
          <w:numId w:val="23"/>
        </w:numPr>
        <w:rPr>
          <w:rFonts w:ascii="Arial" w:hAnsi="Arial" w:cs="Arial"/>
          <w:sz w:val="24"/>
          <w:szCs w:val="24"/>
        </w:rPr>
      </w:pPr>
      <w:r>
        <w:rPr>
          <w:rFonts w:ascii="Arial" w:hAnsi="Arial" w:cs="Arial"/>
          <w:sz w:val="24"/>
          <w:szCs w:val="24"/>
        </w:rPr>
        <w:t>All Closing Disclosures issued to the borrower(s)</w:t>
      </w:r>
    </w:p>
    <w:p w:rsidR="00C8178F" w:rsidRDefault="00C8178F" w:rsidP="00C8178F">
      <w:pPr>
        <w:pStyle w:val="ListParagraph"/>
        <w:numPr>
          <w:ilvl w:val="1"/>
          <w:numId w:val="25"/>
        </w:numPr>
        <w:rPr>
          <w:rFonts w:ascii="Arial" w:hAnsi="Arial" w:cs="Arial"/>
          <w:sz w:val="24"/>
          <w:szCs w:val="24"/>
        </w:rPr>
      </w:pPr>
      <w:r>
        <w:rPr>
          <w:rFonts w:ascii="Arial" w:hAnsi="Arial" w:cs="Arial"/>
          <w:sz w:val="24"/>
          <w:szCs w:val="24"/>
        </w:rPr>
        <w:t>This includes a final signed Closing Disclosure</w:t>
      </w:r>
    </w:p>
    <w:p w:rsidR="00C8178F" w:rsidRDefault="00C8178F" w:rsidP="00C8178F">
      <w:pPr>
        <w:pStyle w:val="ListParagraph"/>
        <w:numPr>
          <w:ilvl w:val="2"/>
          <w:numId w:val="25"/>
        </w:numPr>
        <w:rPr>
          <w:rFonts w:ascii="Arial" w:hAnsi="Arial" w:cs="Arial"/>
          <w:sz w:val="24"/>
          <w:szCs w:val="24"/>
        </w:rPr>
      </w:pPr>
      <w:r>
        <w:rPr>
          <w:rFonts w:ascii="Arial" w:hAnsi="Arial" w:cs="Arial"/>
          <w:sz w:val="24"/>
          <w:szCs w:val="24"/>
        </w:rPr>
        <w:t>All borrowers must acknowledge receipt of CD by signing</w:t>
      </w:r>
    </w:p>
    <w:p w:rsidR="00C8178F" w:rsidRDefault="00C8178F" w:rsidP="00C8178F">
      <w:pPr>
        <w:pStyle w:val="ListParagraph"/>
        <w:numPr>
          <w:ilvl w:val="2"/>
          <w:numId w:val="25"/>
        </w:numPr>
        <w:rPr>
          <w:rFonts w:ascii="Arial" w:hAnsi="Arial" w:cs="Arial"/>
          <w:sz w:val="24"/>
          <w:szCs w:val="24"/>
        </w:rPr>
      </w:pPr>
      <w:r>
        <w:rPr>
          <w:rFonts w:ascii="Arial" w:hAnsi="Arial" w:cs="Arial"/>
          <w:sz w:val="24"/>
          <w:szCs w:val="24"/>
        </w:rPr>
        <w:t>Any persons with a right to rescind must also sign when appropriate; including non-purchasing spouses.</w:t>
      </w:r>
    </w:p>
    <w:p w:rsidR="00C8178F" w:rsidRDefault="00C8178F" w:rsidP="00C8178F">
      <w:pPr>
        <w:pStyle w:val="ListParagraph"/>
        <w:numPr>
          <w:ilvl w:val="1"/>
          <w:numId w:val="25"/>
        </w:numPr>
        <w:rPr>
          <w:rFonts w:ascii="Arial" w:hAnsi="Arial" w:cs="Arial"/>
          <w:sz w:val="24"/>
          <w:szCs w:val="24"/>
        </w:rPr>
      </w:pPr>
      <w:r>
        <w:rPr>
          <w:rFonts w:ascii="Arial" w:hAnsi="Arial" w:cs="Arial"/>
          <w:sz w:val="24"/>
          <w:szCs w:val="24"/>
        </w:rPr>
        <w:t>FHA requires a settlement certification signed by seller(s).</w:t>
      </w:r>
    </w:p>
    <w:p w:rsidR="00C8178F" w:rsidRDefault="00C8178F" w:rsidP="00C8178F">
      <w:pPr>
        <w:pStyle w:val="ListParagraph"/>
        <w:numPr>
          <w:ilvl w:val="1"/>
          <w:numId w:val="25"/>
        </w:numPr>
        <w:rPr>
          <w:rFonts w:ascii="Arial" w:hAnsi="Arial" w:cs="Arial"/>
          <w:sz w:val="24"/>
          <w:szCs w:val="24"/>
        </w:rPr>
      </w:pPr>
      <w:r>
        <w:rPr>
          <w:rFonts w:ascii="Arial" w:hAnsi="Arial" w:cs="Arial"/>
          <w:sz w:val="24"/>
          <w:szCs w:val="24"/>
        </w:rPr>
        <w:t>If a separate seller Closing Disclosure is provided, we must receive a copy.</w:t>
      </w:r>
    </w:p>
    <w:p w:rsidR="00C8178F" w:rsidRDefault="00C8178F" w:rsidP="00C8178F">
      <w:pPr>
        <w:pStyle w:val="ListParagraph"/>
        <w:numPr>
          <w:ilvl w:val="0"/>
          <w:numId w:val="23"/>
        </w:numPr>
        <w:rPr>
          <w:rFonts w:ascii="Arial" w:hAnsi="Arial" w:cs="Arial"/>
          <w:sz w:val="24"/>
          <w:szCs w:val="24"/>
        </w:rPr>
      </w:pPr>
      <w:r>
        <w:rPr>
          <w:rFonts w:ascii="Arial" w:hAnsi="Arial" w:cs="Arial"/>
          <w:sz w:val="24"/>
          <w:szCs w:val="24"/>
        </w:rPr>
        <w:t>Evidence of Cure Calculation (if applicable)</w:t>
      </w:r>
    </w:p>
    <w:p w:rsidR="00C8178F" w:rsidRDefault="00C8178F" w:rsidP="00C8178F">
      <w:pPr>
        <w:pStyle w:val="ListParagraph"/>
        <w:numPr>
          <w:ilvl w:val="1"/>
          <w:numId w:val="23"/>
        </w:numPr>
        <w:rPr>
          <w:rFonts w:ascii="Arial" w:hAnsi="Arial" w:cs="Arial"/>
          <w:sz w:val="24"/>
          <w:szCs w:val="24"/>
        </w:rPr>
      </w:pPr>
      <w:r>
        <w:rPr>
          <w:rFonts w:ascii="Arial" w:hAnsi="Arial" w:cs="Arial"/>
          <w:sz w:val="24"/>
          <w:szCs w:val="24"/>
        </w:rPr>
        <w:t>The Closing Disclosure does not have a fee comparison chart, so evidence of the calculations for the lender’s variance (i.e. tolerance) cures must be provided. Include the cure calculation evidence with the loan file, and ensure the final Closing Disclosure reflects the correct cure amounts.</w:t>
      </w:r>
    </w:p>
    <w:p w:rsidR="00C8178F" w:rsidRDefault="00C8178F" w:rsidP="00C8178F">
      <w:pPr>
        <w:pStyle w:val="ListParagraph"/>
        <w:numPr>
          <w:ilvl w:val="0"/>
          <w:numId w:val="23"/>
        </w:numPr>
        <w:rPr>
          <w:rFonts w:ascii="Arial" w:hAnsi="Arial" w:cs="Arial"/>
          <w:sz w:val="24"/>
          <w:szCs w:val="24"/>
        </w:rPr>
      </w:pPr>
      <w:r>
        <w:rPr>
          <w:rFonts w:ascii="Arial" w:hAnsi="Arial" w:cs="Arial"/>
          <w:sz w:val="24"/>
          <w:szCs w:val="24"/>
        </w:rPr>
        <w:t>Any post-closing revised Closing Disclosures (if applicable)</w:t>
      </w:r>
    </w:p>
    <w:p w:rsidR="00C8178F" w:rsidRDefault="00C8178F" w:rsidP="00C8178F">
      <w:pPr>
        <w:pStyle w:val="ListParagraph"/>
        <w:numPr>
          <w:ilvl w:val="1"/>
          <w:numId w:val="23"/>
        </w:numPr>
        <w:rPr>
          <w:rFonts w:ascii="Arial" w:hAnsi="Arial" w:cs="Arial"/>
          <w:sz w:val="24"/>
          <w:szCs w:val="24"/>
        </w:rPr>
      </w:pPr>
      <w:r>
        <w:rPr>
          <w:rFonts w:ascii="Arial" w:hAnsi="Arial" w:cs="Arial"/>
          <w:sz w:val="24"/>
          <w:szCs w:val="24"/>
        </w:rPr>
        <w:t>If variance/cure is due to the borrower(s), evidence of payment is required prior to purchasing the loan.</w:t>
      </w:r>
    </w:p>
    <w:p w:rsidR="00C8178F" w:rsidRDefault="00C8178F" w:rsidP="00C8178F">
      <w:pPr>
        <w:pStyle w:val="ListParagraph"/>
        <w:numPr>
          <w:ilvl w:val="0"/>
          <w:numId w:val="23"/>
        </w:numPr>
        <w:rPr>
          <w:rFonts w:ascii="Arial" w:hAnsi="Arial" w:cs="Arial"/>
          <w:sz w:val="24"/>
          <w:szCs w:val="24"/>
        </w:rPr>
      </w:pPr>
      <w:r>
        <w:rPr>
          <w:rFonts w:ascii="Arial" w:hAnsi="Arial" w:cs="Arial"/>
          <w:sz w:val="24"/>
          <w:szCs w:val="24"/>
        </w:rPr>
        <w:t>APR Calculation</w:t>
      </w:r>
    </w:p>
    <w:p w:rsidR="00C8178F" w:rsidRDefault="00C8178F" w:rsidP="00C8178F">
      <w:pPr>
        <w:pStyle w:val="ListParagraph"/>
        <w:numPr>
          <w:ilvl w:val="1"/>
          <w:numId w:val="23"/>
        </w:numPr>
        <w:rPr>
          <w:rFonts w:ascii="Arial" w:hAnsi="Arial" w:cs="Arial"/>
          <w:sz w:val="24"/>
          <w:szCs w:val="24"/>
        </w:rPr>
      </w:pPr>
      <w:r>
        <w:rPr>
          <w:rFonts w:ascii="Arial" w:hAnsi="Arial" w:cs="Arial"/>
          <w:sz w:val="24"/>
          <w:szCs w:val="24"/>
        </w:rPr>
        <w:t>In order to exclude a seller or lender paid fee (which is a finance charge) from the borrower’s APR calculation, the final Closing Disclosure must indicate the fee is specifically paid the seller or the lender.</w:t>
      </w:r>
    </w:p>
    <w:p w:rsidR="00C8178F" w:rsidRDefault="00C8178F" w:rsidP="00C8178F">
      <w:pPr>
        <w:pStyle w:val="ListParagraph"/>
        <w:numPr>
          <w:ilvl w:val="0"/>
          <w:numId w:val="23"/>
        </w:numPr>
        <w:rPr>
          <w:rFonts w:ascii="Arial" w:hAnsi="Arial" w:cs="Arial"/>
          <w:sz w:val="24"/>
          <w:szCs w:val="24"/>
        </w:rPr>
      </w:pPr>
      <w:r>
        <w:rPr>
          <w:rFonts w:ascii="Arial" w:hAnsi="Arial" w:cs="Arial"/>
          <w:sz w:val="24"/>
          <w:szCs w:val="24"/>
        </w:rPr>
        <w:t>Lender/Seller Credits</w:t>
      </w:r>
    </w:p>
    <w:p w:rsidR="00C8178F" w:rsidRDefault="00C8178F" w:rsidP="00C8178F">
      <w:pPr>
        <w:pStyle w:val="ListParagraph"/>
        <w:numPr>
          <w:ilvl w:val="1"/>
          <w:numId w:val="23"/>
        </w:numPr>
        <w:rPr>
          <w:rFonts w:ascii="Arial" w:hAnsi="Arial" w:cs="Arial"/>
          <w:sz w:val="24"/>
          <w:szCs w:val="24"/>
        </w:rPr>
      </w:pPr>
      <w:r>
        <w:rPr>
          <w:rFonts w:ascii="Arial" w:hAnsi="Arial" w:cs="Arial"/>
          <w:sz w:val="24"/>
          <w:szCs w:val="24"/>
        </w:rPr>
        <w:t>If there are several fees lumped together, we must receive an itemization of the credits.</w:t>
      </w:r>
    </w:p>
    <w:p w:rsidR="00C8178F" w:rsidRDefault="00C8178F" w:rsidP="00C8178F">
      <w:pPr>
        <w:pStyle w:val="ListParagraph"/>
        <w:numPr>
          <w:ilvl w:val="0"/>
          <w:numId w:val="23"/>
        </w:numPr>
        <w:rPr>
          <w:rFonts w:ascii="Arial" w:hAnsi="Arial" w:cs="Arial"/>
          <w:sz w:val="24"/>
          <w:szCs w:val="24"/>
        </w:rPr>
      </w:pPr>
      <w:r>
        <w:rPr>
          <w:rFonts w:ascii="Arial" w:hAnsi="Arial" w:cs="Arial"/>
          <w:sz w:val="24"/>
          <w:szCs w:val="24"/>
        </w:rPr>
        <w:t>Automated Compliance Testing</w:t>
      </w:r>
    </w:p>
    <w:p w:rsidR="00C8178F" w:rsidRDefault="00C8178F" w:rsidP="00C8178F">
      <w:pPr>
        <w:pStyle w:val="ListParagraph"/>
        <w:numPr>
          <w:ilvl w:val="1"/>
          <w:numId w:val="23"/>
        </w:numPr>
        <w:rPr>
          <w:rFonts w:ascii="Arial" w:hAnsi="Arial" w:cs="Arial"/>
          <w:sz w:val="24"/>
          <w:szCs w:val="24"/>
        </w:rPr>
      </w:pPr>
      <w:r>
        <w:rPr>
          <w:rFonts w:ascii="Arial" w:hAnsi="Arial" w:cs="Arial"/>
          <w:sz w:val="24"/>
          <w:szCs w:val="24"/>
        </w:rPr>
        <w:t>Cornerstone will require a copy of the lender’s automated compliance test run at the time of consummation.</w:t>
      </w:r>
    </w:p>
    <w:p w:rsidR="00C8178F" w:rsidRDefault="00C8178F" w:rsidP="00C8178F">
      <w:pPr>
        <w:pStyle w:val="ListParagraph"/>
        <w:numPr>
          <w:ilvl w:val="0"/>
          <w:numId w:val="23"/>
        </w:numPr>
        <w:rPr>
          <w:rFonts w:ascii="Arial" w:hAnsi="Arial" w:cs="Arial"/>
          <w:b/>
          <w:i/>
          <w:sz w:val="24"/>
          <w:szCs w:val="24"/>
        </w:rPr>
      </w:pPr>
      <w:r>
        <w:rPr>
          <w:rFonts w:ascii="Arial" w:hAnsi="Arial" w:cs="Arial"/>
          <w:sz w:val="24"/>
          <w:szCs w:val="24"/>
        </w:rPr>
        <w:lastRenderedPageBreak/>
        <w:t>Satisfactory Evidence of Receipt. The following documentation will be acceptable proof of Loan Estimate/Closing Disclosure receipt</w:t>
      </w:r>
      <w:r>
        <w:rPr>
          <w:rFonts w:ascii="Arial" w:hAnsi="Arial" w:cs="Arial"/>
          <w:i/>
          <w:sz w:val="24"/>
          <w:szCs w:val="24"/>
        </w:rPr>
        <w:t xml:space="preserve">. Note: these are in order of our opinion from strongest to weakest. </w:t>
      </w:r>
      <w:r>
        <w:rPr>
          <w:rFonts w:ascii="Arial" w:hAnsi="Arial" w:cs="Arial"/>
          <w:b/>
          <w:i/>
          <w:sz w:val="24"/>
          <w:szCs w:val="24"/>
        </w:rPr>
        <w:t>Remember, in our current regulatory environment, if you can’t prove it, it didn’t happen!</w:t>
      </w:r>
    </w:p>
    <w:p w:rsidR="00C8178F" w:rsidRDefault="00C8178F" w:rsidP="00C8178F">
      <w:pPr>
        <w:pStyle w:val="ListParagraph"/>
        <w:numPr>
          <w:ilvl w:val="1"/>
          <w:numId w:val="23"/>
        </w:numPr>
        <w:rPr>
          <w:rFonts w:ascii="Arial" w:hAnsi="Arial" w:cs="Arial"/>
          <w:sz w:val="24"/>
          <w:szCs w:val="24"/>
        </w:rPr>
      </w:pPr>
      <w:r>
        <w:rPr>
          <w:rFonts w:ascii="Arial" w:hAnsi="Arial" w:cs="Arial"/>
          <w:sz w:val="24"/>
          <w:szCs w:val="24"/>
        </w:rPr>
        <w:t xml:space="preserve">Borrower(s) signed and dated acknowledgement of receipt </w:t>
      </w:r>
      <w:r>
        <w:rPr>
          <w:rFonts w:ascii="Arial" w:hAnsi="Arial" w:cs="Arial"/>
          <w:b/>
          <w:sz w:val="24"/>
          <w:szCs w:val="24"/>
        </w:rPr>
        <w:t>OR</w:t>
      </w:r>
      <w:r>
        <w:rPr>
          <w:rFonts w:ascii="Arial" w:hAnsi="Arial" w:cs="Arial"/>
          <w:sz w:val="24"/>
          <w:szCs w:val="24"/>
        </w:rPr>
        <w:t xml:space="preserve"> mail rule*</w:t>
      </w:r>
    </w:p>
    <w:p w:rsidR="00C8178F" w:rsidRDefault="00C8178F" w:rsidP="00C8178F">
      <w:pPr>
        <w:pStyle w:val="ListParagraph"/>
        <w:numPr>
          <w:ilvl w:val="1"/>
          <w:numId w:val="23"/>
        </w:numPr>
        <w:rPr>
          <w:rFonts w:ascii="Arial" w:hAnsi="Arial" w:cs="Arial"/>
          <w:sz w:val="24"/>
          <w:szCs w:val="24"/>
        </w:rPr>
      </w:pPr>
      <w:r>
        <w:rPr>
          <w:rFonts w:ascii="Arial" w:hAnsi="Arial" w:cs="Arial"/>
          <w:sz w:val="24"/>
          <w:szCs w:val="24"/>
        </w:rPr>
        <w:t>Signed and dated Loan Estimate or Closing Disclosure</w:t>
      </w:r>
    </w:p>
    <w:p w:rsidR="00C8178F" w:rsidRDefault="00C8178F" w:rsidP="00C8178F">
      <w:pPr>
        <w:pStyle w:val="ListParagraph"/>
        <w:numPr>
          <w:ilvl w:val="1"/>
          <w:numId w:val="23"/>
        </w:numPr>
        <w:rPr>
          <w:rFonts w:ascii="Arial" w:hAnsi="Arial" w:cs="Arial"/>
          <w:sz w:val="24"/>
          <w:szCs w:val="24"/>
        </w:rPr>
      </w:pPr>
      <w:r>
        <w:rPr>
          <w:rFonts w:ascii="Arial" w:hAnsi="Arial" w:cs="Arial"/>
          <w:sz w:val="24"/>
          <w:szCs w:val="24"/>
        </w:rPr>
        <w:t>E-signed documents (acceptable on all but the Final Closing Disclosure signed at consummation). Must also deliver the borrower’s written consent to send e-docs. This must be dated prior to delivery of the e-docs.</w:t>
      </w:r>
    </w:p>
    <w:p w:rsidR="00C8178F" w:rsidRDefault="00C8178F" w:rsidP="00C8178F">
      <w:pPr>
        <w:pStyle w:val="ListParagraph"/>
        <w:numPr>
          <w:ilvl w:val="1"/>
          <w:numId w:val="23"/>
        </w:numPr>
        <w:rPr>
          <w:rFonts w:ascii="Arial" w:hAnsi="Arial" w:cs="Arial"/>
          <w:sz w:val="24"/>
          <w:szCs w:val="24"/>
        </w:rPr>
      </w:pPr>
      <w:r>
        <w:rPr>
          <w:rFonts w:ascii="Arial" w:hAnsi="Arial" w:cs="Arial"/>
          <w:sz w:val="24"/>
          <w:szCs w:val="24"/>
        </w:rPr>
        <w:t>Evidence that e-mail delivered disclosure was received and opened. The date of receipt must be evident!</w:t>
      </w:r>
    </w:p>
    <w:p w:rsidR="00C8178F" w:rsidRDefault="00C8178F" w:rsidP="00C8178F">
      <w:pPr>
        <w:pStyle w:val="ListParagraph"/>
        <w:ind w:left="1440"/>
        <w:rPr>
          <w:rFonts w:ascii="Arial" w:hAnsi="Arial" w:cs="Arial"/>
          <w:sz w:val="24"/>
          <w:szCs w:val="24"/>
        </w:rPr>
      </w:pPr>
    </w:p>
    <w:p w:rsidR="00C8178F" w:rsidRDefault="00C8178F" w:rsidP="00C8178F">
      <w:pPr>
        <w:pStyle w:val="ListParagraph"/>
        <w:ind w:left="630"/>
        <w:rPr>
          <w:rFonts w:ascii="Arial" w:hAnsi="Arial" w:cs="Arial"/>
          <w:sz w:val="24"/>
          <w:szCs w:val="24"/>
        </w:rPr>
      </w:pPr>
      <w:r>
        <w:rPr>
          <w:rFonts w:ascii="Arial" w:hAnsi="Arial" w:cs="Arial"/>
          <w:sz w:val="24"/>
          <w:szCs w:val="24"/>
        </w:rPr>
        <w:t>*Mail Rule – if the Loan Estimate or Closing Disclosure is placed in the mail, it is assumed that the applicant received the Loan Estimate or Closing Disclosure three (3) specific business days (all calendar days except Sundays and legal public holidays) after the Loan Estimate or Closing Disclosure was placed in the mail.</w:t>
      </w:r>
    </w:p>
    <w:p w:rsidR="00C8178F" w:rsidRDefault="00C8178F" w:rsidP="00C8178F">
      <w:pPr>
        <w:rPr>
          <w:rFonts w:ascii="Arial" w:hAnsi="Arial" w:cs="Arial"/>
          <w:sz w:val="24"/>
          <w:szCs w:val="24"/>
        </w:rPr>
      </w:pPr>
    </w:p>
    <w:p w:rsidR="00C8178F" w:rsidRDefault="00C8178F" w:rsidP="00C8178F">
      <w:pPr>
        <w:rPr>
          <w:rFonts w:ascii="Arial" w:hAnsi="Arial" w:cs="Arial"/>
          <w:b/>
          <w:sz w:val="24"/>
          <w:szCs w:val="24"/>
        </w:rPr>
      </w:pPr>
      <w:r>
        <w:rPr>
          <w:rFonts w:ascii="Arial" w:hAnsi="Arial" w:cs="Arial"/>
          <w:b/>
          <w:sz w:val="24"/>
          <w:szCs w:val="24"/>
        </w:rPr>
        <w:t>Note: if there is a disclosure timing/waiting violation, Cornerstone cannot purchase the loan. No exceptions.</w:t>
      </w:r>
    </w:p>
    <w:p w:rsidR="00C8178F" w:rsidRDefault="00C8178F" w:rsidP="00C8178F">
      <w:pPr>
        <w:rPr>
          <w:rFonts w:ascii="Arial" w:hAnsi="Arial" w:cs="Arial"/>
          <w:sz w:val="24"/>
          <w:szCs w:val="24"/>
        </w:rPr>
      </w:pPr>
    </w:p>
    <w:p w:rsidR="00C8178F" w:rsidRDefault="00C8178F" w:rsidP="00C8178F">
      <w:pPr>
        <w:rPr>
          <w:rFonts w:ascii="Arial" w:hAnsi="Arial" w:cs="Arial"/>
          <w:b/>
          <w:sz w:val="24"/>
          <w:szCs w:val="24"/>
          <w:u w:val="single"/>
        </w:rPr>
      </w:pPr>
      <w:r>
        <w:rPr>
          <w:rFonts w:ascii="Arial" w:hAnsi="Arial" w:cs="Arial"/>
          <w:b/>
          <w:sz w:val="24"/>
          <w:szCs w:val="24"/>
          <w:u w:val="single"/>
        </w:rPr>
        <w:t>Jumbo Requirements</w:t>
      </w:r>
    </w:p>
    <w:p w:rsidR="00C8178F" w:rsidRDefault="00C8178F" w:rsidP="00C8178F">
      <w:pPr>
        <w:rPr>
          <w:rFonts w:ascii="Arial" w:hAnsi="Arial" w:cs="Arial"/>
          <w:sz w:val="24"/>
          <w:szCs w:val="24"/>
        </w:rPr>
      </w:pPr>
    </w:p>
    <w:p w:rsidR="00C8178F" w:rsidRDefault="00C8178F" w:rsidP="00C8178F">
      <w:pPr>
        <w:rPr>
          <w:rFonts w:ascii="Arial" w:hAnsi="Arial" w:cs="Arial"/>
          <w:sz w:val="24"/>
          <w:szCs w:val="24"/>
        </w:rPr>
      </w:pPr>
      <w:r>
        <w:rPr>
          <w:rFonts w:ascii="Arial" w:hAnsi="Arial" w:cs="Arial"/>
          <w:sz w:val="24"/>
          <w:szCs w:val="24"/>
        </w:rPr>
        <w:t xml:space="preserve">Please refer to the </w:t>
      </w:r>
      <w:r>
        <w:rPr>
          <w:rFonts w:ascii="Arial" w:hAnsi="Arial" w:cs="Arial"/>
          <w:b/>
          <w:sz w:val="24"/>
          <w:szCs w:val="24"/>
        </w:rPr>
        <w:t>attached</w:t>
      </w:r>
      <w:r>
        <w:rPr>
          <w:rFonts w:ascii="Arial" w:hAnsi="Arial" w:cs="Arial"/>
          <w:sz w:val="24"/>
          <w:szCs w:val="24"/>
        </w:rPr>
        <w:t xml:space="preserve"> TILA/RESPA Integrated Disclosure Rule Compliance Policy – Investor R for specific requirements on Jumbo loans submitted to Cornerstone for underwriting and purchase. This policy has been posted to the correspondent web-site: </w:t>
      </w:r>
      <w:hyperlink r:id="rId9" w:history="1">
        <w:r>
          <w:rPr>
            <w:rStyle w:val="Hyperlink"/>
            <w:rFonts w:ascii="Arial" w:hAnsi="Arial" w:cs="Arial"/>
            <w:sz w:val="24"/>
            <w:szCs w:val="24"/>
          </w:rPr>
          <w:t>www.chlcorrespondent.com</w:t>
        </w:r>
      </w:hyperlink>
      <w:r>
        <w:rPr>
          <w:rFonts w:ascii="Arial" w:hAnsi="Arial" w:cs="Arial"/>
          <w:sz w:val="24"/>
          <w:szCs w:val="24"/>
        </w:rPr>
        <w:t xml:space="preserve"> under the Jumbo Program section on the Product Guidelines and Overlays page.</w:t>
      </w:r>
    </w:p>
    <w:p w:rsidR="00C8178F" w:rsidRDefault="00C8178F" w:rsidP="00C8178F">
      <w:pPr>
        <w:rPr>
          <w:rFonts w:ascii="Arial" w:hAnsi="Arial" w:cs="Arial"/>
          <w:sz w:val="24"/>
          <w:szCs w:val="24"/>
        </w:rPr>
      </w:pPr>
    </w:p>
    <w:p w:rsidR="00C8178F" w:rsidRDefault="00C8178F" w:rsidP="00C8178F">
      <w:pPr>
        <w:rPr>
          <w:rFonts w:ascii="Arial" w:hAnsi="Arial" w:cs="Arial"/>
          <w:b/>
          <w:sz w:val="24"/>
          <w:szCs w:val="24"/>
          <w:u w:val="single"/>
        </w:rPr>
      </w:pPr>
      <w:r>
        <w:rPr>
          <w:rFonts w:ascii="Arial" w:hAnsi="Arial" w:cs="Arial"/>
          <w:b/>
          <w:sz w:val="24"/>
          <w:szCs w:val="24"/>
          <w:u w:val="single"/>
        </w:rPr>
        <w:t>Additional Tools</w:t>
      </w:r>
    </w:p>
    <w:p w:rsidR="00C8178F" w:rsidRDefault="00C8178F" w:rsidP="00C8178F">
      <w:pPr>
        <w:rPr>
          <w:rFonts w:ascii="Arial" w:hAnsi="Arial" w:cs="Arial"/>
          <w:sz w:val="24"/>
          <w:szCs w:val="24"/>
        </w:rPr>
      </w:pPr>
    </w:p>
    <w:p w:rsidR="00C8178F" w:rsidRDefault="00C8178F" w:rsidP="00C8178F">
      <w:pPr>
        <w:rPr>
          <w:rFonts w:ascii="Arial" w:hAnsi="Arial" w:cs="Arial"/>
          <w:sz w:val="24"/>
          <w:szCs w:val="24"/>
        </w:rPr>
      </w:pPr>
      <w:r>
        <w:rPr>
          <w:rFonts w:ascii="Arial" w:hAnsi="Arial" w:cs="Arial"/>
          <w:sz w:val="24"/>
          <w:szCs w:val="24"/>
        </w:rPr>
        <w:t xml:space="preserve">The Consumer Financial Protection Bureau </w:t>
      </w:r>
      <w:hyperlink r:id="rId10" w:history="1">
        <w:r>
          <w:rPr>
            <w:rStyle w:val="Hyperlink"/>
            <w:rFonts w:ascii="Arial" w:hAnsi="Arial" w:cs="Arial"/>
            <w:sz w:val="24"/>
            <w:szCs w:val="24"/>
          </w:rPr>
          <w:t>TRID website</w:t>
        </w:r>
      </w:hyperlink>
      <w:r>
        <w:rPr>
          <w:rFonts w:ascii="Arial" w:hAnsi="Arial" w:cs="Arial"/>
          <w:sz w:val="24"/>
          <w:szCs w:val="24"/>
        </w:rPr>
        <w:t xml:space="preserve"> has sample forms, timelines, the new consumer guide, and other resources to help you learn more.</w:t>
      </w:r>
    </w:p>
    <w:p w:rsidR="00C8178F" w:rsidRDefault="00C8178F" w:rsidP="00C8178F">
      <w:pPr>
        <w:rPr>
          <w:rFonts w:ascii="Arial" w:hAnsi="Arial" w:cs="Arial"/>
          <w:sz w:val="24"/>
          <w:szCs w:val="24"/>
        </w:rPr>
      </w:pPr>
    </w:p>
    <w:p w:rsidR="00C8178F" w:rsidRDefault="00C8178F" w:rsidP="00C8178F">
      <w:pPr>
        <w:rPr>
          <w:rFonts w:ascii="Arial" w:hAnsi="Arial" w:cs="Arial"/>
          <w:sz w:val="24"/>
          <w:szCs w:val="24"/>
        </w:rPr>
      </w:pPr>
      <w:r>
        <w:rPr>
          <w:rFonts w:ascii="Arial" w:hAnsi="Arial" w:cs="Arial"/>
          <w:sz w:val="24"/>
          <w:szCs w:val="24"/>
        </w:rPr>
        <w:t xml:space="preserve">Disclosure Comparison – Pre TRID versus Post TRID </w:t>
      </w:r>
      <w:r>
        <w:rPr>
          <w:rFonts w:ascii="Arial" w:hAnsi="Arial" w:cs="Arial"/>
          <w:b/>
          <w:sz w:val="24"/>
          <w:szCs w:val="24"/>
        </w:rPr>
        <w:t>(attached).</w:t>
      </w:r>
      <w:r>
        <w:rPr>
          <w:rFonts w:ascii="Arial" w:hAnsi="Arial" w:cs="Arial"/>
          <w:sz w:val="24"/>
          <w:szCs w:val="24"/>
        </w:rPr>
        <w:t xml:space="preserve"> This resource will also be available in the correspondent web-site: </w:t>
      </w:r>
      <w:hyperlink r:id="rId11" w:history="1">
        <w:r>
          <w:rPr>
            <w:rStyle w:val="Hyperlink"/>
            <w:rFonts w:ascii="Arial" w:hAnsi="Arial" w:cs="Arial"/>
            <w:sz w:val="24"/>
            <w:szCs w:val="24"/>
          </w:rPr>
          <w:t>www.chlcorrespondent.com</w:t>
        </w:r>
      </w:hyperlink>
      <w:r>
        <w:rPr>
          <w:rFonts w:ascii="Arial" w:hAnsi="Arial" w:cs="Arial"/>
          <w:sz w:val="24"/>
          <w:szCs w:val="24"/>
        </w:rPr>
        <w:t xml:space="preserve"> under Tools.</w:t>
      </w:r>
    </w:p>
    <w:p w:rsidR="00C8178F" w:rsidRDefault="00C8178F" w:rsidP="00C8178F">
      <w:pPr>
        <w:rPr>
          <w:rFonts w:ascii="Arial" w:hAnsi="Arial" w:cs="Arial"/>
          <w:sz w:val="24"/>
          <w:szCs w:val="24"/>
        </w:rPr>
      </w:pPr>
    </w:p>
    <w:p w:rsidR="00C8178F" w:rsidRDefault="00C8178F" w:rsidP="00C8178F">
      <w:pPr>
        <w:rPr>
          <w:rFonts w:ascii="Arial" w:hAnsi="Arial" w:cs="Arial"/>
          <w:b/>
          <w:sz w:val="24"/>
          <w:szCs w:val="24"/>
          <w:u w:val="single"/>
        </w:rPr>
      </w:pPr>
      <w:r>
        <w:rPr>
          <w:rFonts w:ascii="Arial" w:hAnsi="Arial" w:cs="Arial"/>
          <w:b/>
          <w:sz w:val="24"/>
          <w:szCs w:val="24"/>
          <w:u w:val="single"/>
        </w:rPr>
        <w:t>Moving Forward</w:t>
      </w:r>
    </w:p>
    <w:p w:rsidR="00C8178F" w:rsidRDefault="00C8178F" w:rsidP="00C8178F">
      <w:pPr>
        <w:rPr>
          <w:rFonts w:ascii="Arial" w:hAnsi="Arial" w:cs="Arial"/>
          <w:sz w:val="24"/>
          <w:szCs w:val="24"/>
        </w:rPr>
      </w:pPr>
    </w:p>
    <w:p w:rsidR="00C8178F" w:rsidRDefault="00C8178F" w:rsidP="00C8178F">
      <w:pPr>
        <w:rPr>
          <w:rFonts w:ascii="Arial" w:hAnsi="Arial" w:cs="Arial"/>
          <w:sz w:val="24"/>
          <w:szCs w:val="24"/>
        </w:rPr>
      </w:pPr>
      <w:r>
        <w:rPr>
          <w:rFonts w:ascii="Arial" w:hAnsi="Arial" w:cs="Arial"/>
          <w:sz w:val="24"/>
          <w:szCs w:val="24"/>
        </w:rPr>
        <w:t>As we all gain experience with how this new regulation will affect our business processes, we will be sending additional information and guidance. Please do not hesitate to contact us with specific questions.</w:t>
      </w:r>
    </w:p>
    <w:p w:rsidR="00C8178F" w:rsidRDefault="00C8178F" w:rsidP="00C8178F">
      <w:pPr>
        <w:rPr>
          <w:rFonts w:ascii="Arial" w:hAnsi="Arial" w:cs="Arial"/>
          <w:sz w:val="24"/>
          <w:szCs w:val="24"/>
        </w:rPr>
      </w:pPr>
    </w:p>
    <w:p w:rsidR="00C8178F" w:rsidRDefault="00C8178F" w:rsidP="00C8178F">
      <w:pPr>
        <w:rPr>
          <w:rFonts w:ascii="Arial" w:hAnsi="Arial" w:cs="Arial"/>
          <w:sz w:val="24"/>
          <w:szCs w:val="24"/>
        </w:rPr>
      </w:pPr>
    </w:p>
    <w:p w:rsidR="00C8178F" w:rsidRDefault="00C8178F" w:rsidP="00C8178F">
      <w:pPr>
        <w:rPr>
          <w:rFonts w:ascii="Arial" w:hAnsi="Arial" w:cs="Arial"/>
          <w:b/>
          <w:sz w:val="24"/>
          <w:szCs w:val="24"/>
        </w:rPr>
      </w:pPr>
      <w:r>
        <w:rPr>
          <w:rFonts w:ascii="Arial" w:hAnsi="Arial" w:cs="Arial"/>
          <w:b/>
          <w:sz w:val="24"/>
          <w:szCs w:val="24"/>
        </w:rPr>
        <w:t xml:space="preserve">As always, your business is greatly appreciated. If you have questions regarding these issues, please contact me at </w:t>
      </w:r>
      <w:hyperlink r:id="rId12" w:history="1">
        <w:r>
          <w:rPr>
            <w:rStyle w:val="Hyperlink"/>
            <w:rFonts w:ascii="Arial" w:hAnsi="Arial" w:cs="Arial"/>
            <w:b/>
            <w:sz w:val="24"/>
            <w:szCs w:val="24"/>
          </w:rPr>
          <w:t>abreidenbach@houseloan.com</w:t>
        </w:r>
      </w:hyperlink>
      <w:r>
        <w:rPr>
          <w:rFonts w:ascii="Arial" w:hAnsi="Arial" w:cs="Arial"/>
          <w:b/>
          <w:sz w:val="24"/>
          <w:szCs w:val="24"/>
        </w:rPr>
        <w:t>.</w:t>
      </w:r>
    </w:p>
    <w:p w:rsidR="00C8178F" w:rsidRDefault="00C8178F" w:rsidP="00C8178F">
      <w:pPr>
        <w:rPr>
          <w:rFonts w:ascii="Arial" w:hAnsi="Arial" w:cs="Arial"/>
          <w:b/>
          <w:sz w:val="24"/>
          <w:szCs w:val="24"/>
        </w:rPr>
      </w:pPr>
    </w:p>
    <w:p w:rsidR="00C8178F" w:rsidRDefault="00C8178F" w:rsidP="00C8178F">
      <w:pPr>
        <w:rPr>
          <w:color w:val="1F497D"/>
          <w:sz w:val="24"/>
          <w:szCs w:val="24"/>
        </w:rPr>
      </w:pPr>
      <w:r>
        <w:rPr>
          <w:rFonts w:ascii="Californian FB" w:hAnsi="Californian FB"/>
          <w:b/>
          <w:bCs/>
          <w:i/>
          <w:iCs/>
          <w:color w:val="244061"/>
          <w:sz w:val="24"/>
          <w:szCs w:val="24"/>
        </w:rPr>
        <w:t>The content of this communication is confidential and is not intended for consumer use or for distribution to any third party without prior written consent from Cornerstone Home Lending, Inc.</w:t>
      </w:r>
    </w:p>
    <w:p w:rsidR="00C8178F" w:rsidRDefault="00C8178F" w:rsidP="00C8178F">
      <w:pPr>
        <w:rPr>
          <w:sz w:val="24"/>
          <w:szCs w:val="24"/>
        </w:rPr>
      </w:pPr>
    </w:p>
    <w:sectPr w:rsidR="00C8178F" w:rsidSect="00394A90">
      <w:pgSz w:w="12240" w:h="20160" w:code="5"/>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B4" w:rsidRDefault="00E952B4" w:rsidP="00E952B4">
      <w:r>
        <w:separator/>
      </w:r>
    </w:p>
  </w:endnote>
  <w:endnote w:type="continuationSeparator" w:id="0">
    <w:p w:rsidR="00E952B4" w:rsidRDefault="00E952B4" w:rsidP="00E9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B4" w:rsidRDefault="00E952B4" w:rsidP="00E952B4">
      <w:r>
        <w:separator/>
      </w:r>
    </w:p>
  </w:footnote>
  <w:footnote w:type="continuationSeparator" w:id="0">
    <w:p w:rsidR="00E952B4" w:rsidRDefault="00E952B4" w:rsidP="00E9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7C"/>
    <w:multiLevelType w:val="hybridMultilevel"/>
    <w:tmpl w:val="B7F0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772D"/>
    <w:multiLevelType w:val="hybridMultilevel"/>
    <w:tmpl w:val="7C48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73A9"/>
    <w:multiLevelType w:val="hybridMultilevel"/>
    <w:tmpl w:val="C31A49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E71B0"/>
    <w:multiLevelType w:val="hybridMultilevel"/>
    <w:tmpl w:val="997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11047"/>
    <w:multiLevelType w:val="hybridMultilevel"/>
    <w:tmpl w:val="0B9CD838"/>
    <w:lvl w:ilvl="0" w:tplc="AED47B0C">
      <w:start w:val="8"/>
      <w:numFmt w:val="bullet"/>
      <w:lvlText w:val=""/>
      <w:lvlJc w:val="left"/>
      <w:pPr>
        <w:ind w:left="720" w:hanging="360"/>
      </w:pPr>
      <w:rPr>
        <w:rFonts w:ascii="SymbolMT" w:eastAsiaTheme="minorHAnsi" w:hAnsi="Symbol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264"/>
    <w:multiLevelType w:val="hybridMultilevel"/>
    <w:tmpl w:val="AADC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04A52"/>
    <w:multiLevelType w:val="hybridMultilevel"/>
    <w:tmpl w:val="DD968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D6EB6"/>
    <w:multiLevelType w:val="hybridMultilevel"/>
    <w:tmpl w:val="FDB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9788B"/>
    <w:multiLevelType w:val="hybridMultilevel"/>
    <w:tmpl w:val="80B6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A1680"/>
    <w:multiLevelType w:val="hybridMultilevel"/>
    <w:tmpl w:val="9E34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716CA"/>
    <w:multiLevelType w:val="hybridMultilevel"/>
    <w:tmpl w:val="9492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33348"/>
    <w:multiLevelType w:val="hybridMultilevel"/>
    <w:tmpl w:val="6FDCC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B7B24"/>
    <w:multiLevelType w:val="hybridMultilevel"/>
    <w:tmpl w:val="E93C2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1C39C2"/>
    <w:multiLevelType w:val="hybridMultilevel"/>
    <w:tmpl w:val="08A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C22F8"/>
    <w:multiLevelType w:val="hybridMultilevel"/>
    <w:tmpl w:val="DA6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E5A28"/>
    <w:multiLevelType w:val="hybridMultilevel"/>
    <w:tmpl w:val="2358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C3AE4"/>
    <w:multiLevelType w:val="hybridMultilevel"/>
    <w:tmpl w:val="0464E3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5206F5"/>
    <w:multiLevelType w:val="hybridMultilevel"/>
    <w:tmpl w:val="31B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F5653"/>
    <w:multiLevelType w:val="hybridMultilevel"/>
    <w:tmpl w:val="2D50AABE"/>
    <w:lvl w:ilvl="0" w:tplc="CEEA8CE8">
      <w:start w:val="1"/>
      <w:numFmt w:val="decimal"/>
      <w:lvlText w:val="%1."/>
      <w:lvlJc w:val="left"/>
      <w:pPr>
        <w:ind w:left="63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C7F0D"/>
    <w:multiLevelType w:val="hybridMultilevel"/>
    <w:tmpl w:val="B65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974F0"/>
    <w:multiLevelType w:val="hybridMultilevel"/>
    <w:tmpl w:val="9738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A6E8D"/>
    <w:multiLevelType w:val="hybridMultilevel"/>
    <w:tmpl w:val="CCE2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20"/>
  </w:num>
  <w:num w:numId="5">
    <w:abstractNumId w:val="19"/>
  </w:num>
  <w:num w:numId="6">
    <w:abstractNumId w:val="4"/>
  </w:num>
  <w:num w:numId="7">
    <w:abstractNumId w:val="7"/>
  </w:num>
  <w:num w:numId="8">
    <w:abstractNumId w:val="3"/>
  </w:num>
  <w:num w:numId="9">
    <w:abstractNumId w:val="9"/>
  </w:num>
  <w:num w:numId="10">
    <w:abstractNumId w:val="10"/>
  </w:num>
  <w:num w:numId="11">
    <w:abstractNumId w:val="6"/>
  </w:num>
  <w:num w:numId="12">
    <w:abstractNumId w:val="12"/>
  </w:num>
  <w:num w:numId="13">
    <w:abstractNumId w:val="16"/>
  </w:num>
  <w:num w:numId="14">
    <w:abstractNumId w:val="21"/>
  </w:num>
  <w:num w:numId="15">
    <w:abstractNumId w:val="13"/>
  </w:num>
  <w:num w:numId="16">
    <w:abstractNumId w:val="11"/>
  </w:num>
  <w:num w:numId="17">
    <w:abstractNumId w:val="2"/>
  </w:num>
  <w:num w:numId="18">
    <w:abstractNumId w:val="17"/>
  </w:num>
  <w:num w:numId="19">
    <w:abstractNumId w:val="14"/>
  </w:num>
  <w:num w:numId="20">
    <w:abstractNumId w:val="18"/>
  </w:num>
  <w:num w:numId="21">
    <w:abstractNumId w:val="1"/>
  </w:num>
  <w:num w:numId="22">
    <w:abstractNumId w:val="8"/>
  </w:num>
  <w:num w:numId="2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5"/>
    <w:rsid w:val="000144FF"/>
    <w:rsid w:val="000D0322"/>
    <w:rsid w:val="000F04FC"/>
    <w:rsid w:val="00151F5C"/>
    <w:rsid w:val="001A04D8"/>
    <w:rsid w:val="00200099"/>
    <w:rsid w:val="002A0499"/>
    <w:rsid w:val="002C2285"/>
    <w:rsid w:val="002E1E83"/>
    <w:rsid w:val="002E56BF"/>
    <w:rsid w:val="002E64F7"/>
    <w:rsid w:val="00384053"/>
    <w:rsid w:val="003927F5"/>
    <w:rsid w:val="00394A90"/>
    <w:rsid w:val="003B294A"/>
    <w:rsid w:val="003D30BA"/>
    <w:rsid w:val="003E6C7E"/>
    <w:rsid w:val="003F3173"/>
    <w:rsid w:val="004627A5"/>
    <w:rsid w:val="004E5075"/>
    <w:rsid w:val="00572550"/>
    <w:rsid w:val="005E39A7"/>
    <w:rsid w:val="00645F24"/>
    <w:rsid w:val="00657BB4"/>
    <w:rsid w:val="006752A3"/>
    <w:rsid w:val="006C35CD"/>
    <w:rsid w:val="00731F77"/>
    <w:rsid w:val="00753C7A"/>
    <w:rsid w:val="0075758B"/>
    <w:rsid w:val="00773C3A"/>
    <w:rsid w:val="00773CDA"/>
    <w:rsid w:val="00777937"/>
    <w:rsid w:val="007C1BF1"/>
    <w:rsid w:val="007D7B9C"/>
    <w:rsid w:val="00841005"/>
    <w:rsid w:val="008A7686"/>
    <w:rsid w:val="008C12FB"/>
    <w:rsid w:val="008C67F7"/>
    <w:rsid w:val="009841CB"/>
    <w:rsid w:val="00A00EAD"/>
    <w:rsid w:val="00A35AB7"/>
    <w:rsid w:val="00AA1412"/>
    <w:rsid w:val="00AB0D05"/>
    <w:rsid w:val="00B1055E"/>
    <w:rsid w:val="00B303A4"/>
    <w:rsid w:val="00B40844"/>
    <w:rsid w:val="00B9661F"/>
    <w:rsid w:val="00BD11A7"/>
    <w:rsid w:val="00C25062"/>
    <w:rsid w:val="00C4006B"/>
    <w:rsid w:val="00C432F1"/>
    <w:rsid w:val="00C66A15"/>
    <w:rsid w:val="00C8178F"/>
    <w:rsid w:val="00CB2649"/>
    <w:rsid w:val="00CB7AB5"/>
    <w:rsid w:val="00CC67CD"/>
    <w:rsid w:val="00CF39AE"/>
    <w:rsid w:val="00D42320"/>
    <w:rsid w:val="00D50330"/>
    <w:rsid w:val="00D86BB0"/>
    <w:rsid w:val="00DC7F82"/>
    <w:rsid w:val="00DD000C"/>
    <w:rsid w:val="00DD3009"/>
    <w:rsid w:val="00E64DF3"/>
    <w:rsid w:val="00E82733"/>
    <w:rsid w:val="00E952B4"/>
    <w:rsid w:val="00E960DA"/>
    <w:rsid w:val="00EA1CB2"/>
    <w:rsid w:val="00EB4FE9"/>
    <w:rsid w:val="00EC4AC8"/>
    <w:rsid w:val="00EF662F"/>
    <w:rsid w:val="00F02DBC"/>
    <w:rsid w:val="00F045EE"/>
    <w:rsid w:val="00FB4080"/>
    <w:rsid w:val="00FC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2C881-9262-4CF3-9729-DA668576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75"/>
    <w:pPr>
      <w:ind w:left="720"/>
      <w:contextualSpacing/>
    </w:pPr>
  </w:style>
  <w:style w:type="paragraph" w:styleId="Header">
    <w:name w:val="header"/>
    <w:basedOn w:val="Normal"/>
    <w:link w:val="HeaderChar"/>
    <w:uiPriority w:val="99"/>
    <w:unhideWhenUsed/>
    <w:rsid w:val="00E952B4"/>
    <w:pPr>
      <w:tabs>
        <w:tab w:val="center" w:pos="4680"/>
        <w:tab w:val="right" w:pos="9360"/>
      </w:tabs>
    </w:pPr>
  </w:style>
  <w:style w:type="character" w:customStyle="1" w:styleId="HeaderChar">
    <w:name w:val="Header Char"/>
    <w:basedOn w:val="DefaultParagraphFont"/>
    <w:link w:val="Header"/>
    <w:uiPriority w:val="99"/>
    <w:rsid w:val="00E952B4"/>
    <w:rPr>
      <w:rFonts w:ascii="Calibri" w:hAnsi="Calibri" w:cs="Times New Roman"/>
    </w:rPr>
  </w:style>
  <w:style w:type="paragraph" w:styleId="Footer">
    <w:name w:val="footer"/>
    <w:basedOn w:val="Normal"/>
    <w:link w:val="FooterChar"/>
    <w:uiPriority w:val="99"/>
    <w:unhideWhenUsed/>
    <w:rsid w:val="00E952B4"/>
    <w:pPr>
      <w:tabs>
        <w:tab w:val="center" w:pos="4680"/>
        <w:tab w:val="right" w:pos="9360"/>
      </w:tabs>
    </w:pPr>
  </w:style>
  <w:style w:type="character" w:customStyle="1" w:styleId="FooterChar">
    <w:name w:val="Footer Char"/>
    <w:basedOn w:val="DefaultParagraphFont"/>
    <w:link w:val="Footer"/>
    <w:uiPriority w:val="99"/>
    <w:rsid w:val="00E952B4"/>
    <w:rPr>
      <w:rFonts w:ascii="Calibri" w:hAnsi="Calibri" w:cs="Times New Roman"/>
    </w:rPr>
  </w:style>
  <w:style w:type="paragraph" w:styleId="BalloonText">
    <w:name w:val="Balloon Text"/>
    <w:basedOn w:val="Normal"/>
    <w:link w:val="BalloonTextChar"/>
    <w:uiPriority w:val="99"/>
    <w:semiHidden/>
    <w:unhideWhenUsed/>
    <w:rsid w:val="00E952B4"/>
    <w:rPr>
      <w:rFonts w:ascii="Tahoma" w:hAnsi="Tahoma" w:cs="Tahoma"/>
      <w:sz w:val="16"/>
      <w:szCs w:val="16"/>
    </w:rPr>
  </w:style>
  <w:style w:type="character" w:customStyle="1" w:styleId="BalloonTextChar">
    <w:name w:val="Balloon Text Char"/>
    <w:basedOn w:val="DefaultParagraphFont"/>
    <w:link w:val="BalloonText"/>
    <w:uiPriority w:val="99"/>
    <w:semiHidden/>
    <w:rsid w:val="00E952B4"/>
    <w:rPr>
      <w:rFonts w:ascii="Tahoma" w:hAnsi="Tahoma" w:cs="Tahoma"/>
      <w:sz w:val="16"/>
      <w:szCs w:val="16"/>
    </w:rPr>
  </w:style>
  <w:style w:type="character" w:styleId="Hyperlink">
    <w:name w:val="Hyperlink"/>
    <w:basedOn w:val="DefaultParagraphFont"/>
    <w:uiPriority w:val="99"/>
    <w:unhideWhenUsed/>
    <w:rsid w:val="00657BB4"/>
    <w:rPr>
      <w:color w:val="0000FF" w:themeColor="hyperlink"/>
      <w:u w:val="single"/>
    </w:rPr>
  </w:style>
  <w:style w:type="table" w:styleId="TableGrid">
    <w:name w:val="Table Grid"/>
    <w:basedOn w:val="TableNormal"/>
    <w:uiPriority w:val="59"/>
    <w:rsid w:val="00657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1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0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2760">
      <w:bodyDiv w:val="1"/>
      <w:marLeft w:val="0"/>
      <w:marRight w:val="0"/>
      <w:marTop w:val="0"/>
      <w:marBottom w:val="0"/>
      <w:divBdr>
        <w:top w:val="none" w:sz="0" w:space="0" w:color="auto"/>
        <w:left w:val="none" w:sz="0" w:space="0" w:color="auto"/>
        <w:bottom w:val="none" w:sz="0" w:space="0" w:color="auto"/>
        <w:right w:val="none" w:sz="0" w:space="0" w:color="auto"/>
      </w:divBdr>
    </w:div>
    <w:div w:id="272135906">
      <w:bodyDiv w:val="1"/>
      <w:marLeft w:val="0"/>
      <w:marRight w:val="0"/>
      <w:marTop w:val="0"/>
      <w:marBottom w:val="0"/>
      <w:divBdr>
        <w:top w:val="none" w:sz="0" w:space="0" w:color="auto"/>
        <w:left w:val="none" w:sz="0" w:space="0" w:color="auto"/>
        <w:bottom w:val="none" w:sz="0" w:space="0" w:color="auto"/>
        <w:right w:val="none" w:sz="0" w:space="0" w:color="auto"/>
      </w:divBdr>
    </w:div>
    <w:div w:id="510527464">
      <w:bodyDiv w:val="1"/>
      <w:marLeft w:val="0"/>
      <w:marRight w:val="0"/>
      <w:marTop w:val="0"/>
      <w:marBottom w:val="0"/>
      <w:divBdr>
        <w:top w:val="none" w:sz="0" w:space="0" w:color="auto"/>
        <w:left w:val="none" w:sz="0" w:space="0" w:color="auto"/>
        <w:bottom w:val="none" w:sz="0" w:space="0" w:color="auto"/>
        <w:right w:val="none" w:sz="0" w:space="0" w:color="auto"/>
      </w:divBdr>
    </w:div>
    <w:div w:id="655691982">
      <w:bodyDiv w:val="1"/>
      <w:marLeft w:val="0"/>
      <w:marRight w:val="0"/>
      <w:marTop w:val="0"/>
      <w:marBottom w:val="0"/>
      <w:divBdr>
        <w:top w:val="none" w:sz="0" w:space="0" w:color="auto"/>
        <w:left w:val="none" w:sz="0" w:space="0" w:color="auto"/>
        <w:bottom w:val="none" w:sz="0" w:space="0" w:color="auto"/>
        <w:right w:val="none" w:sz="0" w:space="0" w:color="auto"/>
      </w:divBdr>
    </w:div>
    <w:div w:id="668288027">
      <w:bodyDiv w:val="1"/>
      <w:marLeft w:val="0"/>
      <w:marRight w:val="0"/>
      <w:marTop w:val="0"/>
      <w:marBottom w:val="0"/>
      <w:divBdr>
        <w:top w:val="none" w:sz="0" w:space="0" w:color="auto"/>
        <w:left w:val="none" w:sz="0" w:space="0" w:color="auto"/>
        <w:bottom w:val="none" w:sz="0" w:space="0" w:color="auto"/>
        <w:right w:val="none" w:sz="0" w:space="0" w:color="auto"/>
      </w:divBdr>
    </w:div>
    <w:div w:id="1299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lcorresponde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breidenbach@houselo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lcorrespondent.com" TargetMode="External"/><Relationship Id="rId5" Type="http://schemas.openxmlformats.org/officeDocument/2006/relationships/footnotes" Target="footnotes.xml"/><Relationship Id="rId10" Type="http://schemas.openxmlformats.org/officeDocument/2006/relationships/hyperlink" Target="http://www.consumerfinance.gov/regulatory-implementation/tila-respa/" TargetMode="External"/><Relationship Id="rId4" Type="http://schemas.openxmlformats.org/officeDocument/2006/relationships/webSettings" Target="webSettings.xml"/><Relationship Id="rId9" Type="http://schemas.openxmlformats.org/officeDocument/2006/relationships/hyperlink" Target="http://www.chlcorresponde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Breidenbach, Angela</dc:creator>
  <cp:lastModifiedBy>Breidenbach, Angela</cp:lastModifiedBy>
  <cp:revision>17</cp:revision>
  <dcterms:created xsi:type="dcterms:W3CDTF">2015-09-24T16:58:00Z</dcterms:created>
  <dcterms:modified xsi:type="dcterms:W3CDTF">2015-10-02T20:03:00Z</dcterms:modified>
</cp:coreProperties>
</file>