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B4" w:rsidRDefault="00E952B4" w:rsidP="004E5075">
      <w:pPr>
        <w:autoSpaceDE w:val="0"/>
        <w:autoSpaceDN w:val="0"/>
      </w:pPr>
    </w:p>
    <w:p w:rsidR="00E952B4" w:rsidRDefault="001A04D8" w:rsidP="00E952B4">
      <w:r>
        <w:rPr>
          <w:noProof/>
        </w:rPr>
        <w:drawing>
          <wp:inline distT="0" distB="0" distL="0" distR="0" wp14:anchorId="0F25FB6E" wp14:editId="3F2B62DC">
            <wp:extent cx="3361944" cy="856488"/>
            <wp:effectExtent l="19050" t="0" r="0" b="0"/>
            <wp:docPr id="1" name="Picture 0" descr="CornerstoneHomeLendingCLD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HomeLendingCLD_logo_300dpi.jpg"/>
                    <pic:cNvPicPr/>
                  </pic:nvPicPr>
                  <pic:blipFill>
                    <a:blip r:embed="rId7" cstate="print"/>
                    <a:stretch>
                      <a:fillRect/>
                    </a:stretch>
                  </pic:blipFill>
                  <pic:spPr>
                    <a:xfrm>
                      <a:off x="0" y="0"/>
                      <a:ext cx="3361944" cy="856488"/>
                    </a:xfrm>
                    <a:prstGeom prst="rect">
                      <a:avLst/>
                    </a:prstGeom>
                  </pic:spPr>
                </pic:pic>
              </a:graphicData>
            </a:graphic>
          </wp:inline>
        </w:drawing>
      </w:r>
    </w:p>
    <w:p w:rsidR="00E952B4" w:rsidRPr="00A844F8" w:rsidRDefault="00E952B4" w:rsidP="00E952B4">
      <w:pPr>
        <w:rPr>
          <w:rFonts w:ascii="Arial Rounded MT Bold" w:hAnsi="Arial Rounded MT Bold"/>
          <w:b/>
          <w:sz w:val="20"/>
          <w:szCs w:val="20"/>
        </w:rPr>
      </w:pPr>
    </w:p>
    <w:p w:rsidR="00E952B4" w:rsidRPr="00E960DA" w:rsidRDefault="00E952B4" w:rsidP="00E952B4">
      <w:pPr>
        <w:rPr>
          <w:rFonts w:ascii="Arial" w:hAnsi="Arial" w:cs="Arial"/>
          <w:b/>
          <w:sz w:val="24"/>
          <w:szCs w:val="24"/>
        </w:rPr>
      </w:pPr>
      <w:r w:rsidRPr="00E960DA">
        <w:rPr>
          <w:rFonts w:ascii="Arial" w:hAnsi="Arial" w:cs="Arial"/>
          <w:b/>
          <w:sz w:val="24"/>
          <w:szCs w:val="24"/>
        </w:rPr>
        <w:t>TO:</w:t>
      </w:r>
      <w:r w:rsidRPr="00E960DA">
        <w:rPr>
          <w:rFonts w:ascii="Arial" w:hAnsi="Arial" w:cs="Arial"/>
          <w:b/>
          <w:sz w:val="24"/>
          <w:szCs w:val="24"/>
        </w:rPr>
        <w:tab/>
      </w:r>
      <w:r w:rsidRPr="00E960DA">
        <w:rPr>
          <w:rFonts w:ascii="Arial" w:hAnsi="Arial" w:cs="Arial"/>
          <w:b/>
          <w:sz w:val="24"/>
          <w:szCs w:val="24"/>
        </w:rPr>
        <w:tab/>
        <w:t>Correspondent Lenders</w:t>
      </w:r>
    </w:p>
    <w:p w:rsidR="00E952B4" w:rsidRPr="00E960DA" w:rsidRDefault="00E952B4" w:rsidP="00E952B4">
      <w:pPr>
        <w:rPr>
          <w:rFonts w:ascii="Arial" w:hAnsi="Arial" w:cs="Arial"/>
          <w:b/>
          <w:sz w:val="24"/>
          <w:szCs w:val="24"/>
        </w:rPr>
      </w:pPr>
    </w:p>
    <w:p w:rsidR="00E952B4" w:rsidRPr="00E960DA" w:rsidRDefault="00E952B4" w:rsidP="00E952B4">
      <w:pPr>
        <w:outlineLvl w:val="0"/>
        <w:rPr>
          <w:rFonts w:ascii="Arial" w:hAnsi="Arial" w:cs="Arial"/>
          <w:b/>
          <w:sz w:val="24"/>
          <w:szCs w:val="24"/>
        </w:rPr>
      </w:pPr>
      <w:r w:rsidRPr="00E960DA">
        <w:rPr>
          <w:rFonts w:ascii="Arial" w:hAnsi="Arial" w:cs="Arial"/>
          <w:b/>
          <w:sz w:val="24"/>
          <w:szCs w:val="24"/>
        </w:rPr>
        <w:t>FROM:</w:t>
      </w:r>
      <w:r w:rsidRPr="00E960DA">
        <w:rPr>
          <w:rFonts w:ascii="Arial" w:hAnsi="Arial" w:cs="Arial"/>
          <w:b/>
          <w:sz w:val="24"/>
          <w:szCs w:val="24"/>
        </w:rPr>
        <w:tab/>
        <w:t>Angela Breidenbach, Operations Manager</w:t>
      </w:r>
    </w:p>
    <w:p w:rsidR="00E952B4" w:rsidRPr="00E960DA" w:rsidRDefault="00E952B4" w:rsidP="00E952B4">
      <w:pPr>
        <w:rPr>
          <w:rFonts w:ascii="Arial" w:hAnsi="Arial" w:cs="Arial"/>
          <w:b/>
          <w:sz w:val="24"/>
          <w:szCs w:val="24"/>
        </w:rPr>
      </w:pPr>
    </w:p>
    <w:p w:rsidR="00E952B4" w:rsidRPr="00E960DA" w:rsidRDefault="00E952B4" w:rsidP="00E952B4">
      <w:pPr>
        <w:rPr>
          <w:rFonts w:ascii="Arial" w:hAnsi="Arial" w:cs="Arial"/>
          <w:b/>
          <w:sz w:val="24"/>
          <w:szCs w:val="24"/>
        </w:rPr>
      </w:pPr>
      <w:r w:rsidRPr="00E960DA">
        <w:rPr>
          <w:rFonts w:ascii="Arial" w:hAnsi="Arial" w:cs="Arial"/>
          <w:b/>
          <w:sz w:val="24"/>
          <w:szCs w:val="24"/>
        </w:rPr>
        <w:t>DATE</w:t>
      </w:r>
      <w:r w:rsidRPr="00E960DA">
        <w:rPr>
          <w:rFonts w:ascii="Arial" w:hAnsi="Arial" w:cs="Arial"/>
          <w:b/>
          <w:sz w:val="24"/>
          <w:szCs w:val="24"/>
        </w:rPr>
        <w:tab/>
      </w:r>
      <w:r w:rsidRPr="00E960DA">
        <w:rPr>
          <w:rFonts w:ascii="Arial" w:hAnsi="Arial" w:cs="Arial"/>
          <w:b/>
          <w:sz w:val="24"/>
          <w:szCs w:val="24"/>
        </w:rPr>
        <w:tab/>
      </w:r>
      <w:r w:rsidR="00B14CFA">
        <w:rPr>
          <w:rFonts w:ascii="Arial" w:hAnsi="Arial" w:cs="Arial"/>
          <w:b/>
          <w:sz w:val="24"/>
          <w:szCs w:val="24"/>
        </w:rPr>
        <w:t>January 11, 2016</w:t>
      </w:r>
    </w:p>
    <w:p w:rsidR="00E952B4" w:rsidRPr="00E960DA" w:rsidRDefault="00E952B4" w:rsidP="00E952B4">
      <w:pPr>
        <w:rPr>
          <w:rFonts w:ascii="Arial" w:hAnsi="Arial" w:cs="Arial"/>
          <w:b/>
          <w:sz w:val="24"/>
          <w:szCs w:val="24"/>
        </w:rPr>
      </w:pPr>
    </w:p>
    <w:p w:rsidR="003E6C7E" w:rsidRDefault="00E952B4" w:rsidP="00AB0D05">
      <w:pPr>
        <w:rPr>
          <w:rFonts w:ascii="Arial" w:hAnsi="Arial" w:cs="Arial"/>
          <w:b/>
          <w:sz w:val="24"/>
          <w:szCs w:val="24"/>
        </w:rPr>
      </w:pPr>
      <w:r w:rsidRPr="00E960DA">
        <w:rPr>
          <w:rFonts w:ascii="Arial" w:hAnsi="Arial" w:cs="Arial"/>
          <w:b/>
          <w:sz w:val="24"/>
          <w:szCs w:val="24"/>
        </w:rPr>
        <w:t>RE:</w:t>
      </w:r>
      <w:r w:rsidRPr="00E960DA">
        <w:rPr>
          <w:rFonts w:ascii="Arial" w:hAnsi="Arial" w:cs="Arial"/>
          <w:b/>
          <w:sz w:val="24"/>
          <w:szCs w:val="24"/>
        </w:rPr>
        <w:tab/>
      </w:r>
      <w:r w:rsidRPr="00E960DA">
        <w:rPr>
          <w:rFonts w:ascii="Arial" w:hAnsi="Arial" w:cs="Arial"/>
          <w:b/>
          <w:sz w:val="24"/>
          <w:szCs w:val="24"/>
        </w:rPr>
        <w:tab/>
      </w:r>
      <w:r w:rsidR="00B14CFA">
        <w:rPr>
          <w:rFonts w:ascii="Arial" w:hAnsi="Arial" w:cs="Arial"/>
          <w:b/>
          <w:sz w:val="24"/>
          <w:szCs w:val="24"/>
        </w:rPr>
        <w:t>Collateral Underwriting (CU)</w:t>
      </w:r>
    </w:p>
    <w:p w:rsidR="00B14CFA" w:rsidRPr="00E960DA" w:rsidRDefault="00B14CFA" w:rsidP="00AB0D05">
      <w:pPr>
        <w:rPr>
          <w:rFonts w:ascii="Arial" w:hAnsi="Arial" w:cs="Arial"/>
          <w:b/>
          <w:sz w:val="24"/>
          <w:szCs w:val="24"/>
        </w:rPr>
      </w:pPr>
      <w:r>
        <w:rPr>
          <w:rFonts w:ascii="Arial" w:hAnsi="Arial" w:cs="Arial"/>
          <w:b/>
          <w:sz w:val="24"/>
          <w:szCs w:val="24"/>
        </w:rPr>
        <w:tab/>
      </w:r>
      <w:r>
        <w:rPr>
          <w:rFonts w:ascii="Arial" w:hAnsi="Arial" w:cs="Arial"/>
          <w:b/>
          <w:sz w:val="24"/>
          <w:szCs w:val="24"/>
        </w:rPr>
        <w:tab/>
        <w:t>Loan Package</w:t>
      </w:r>
      <w:r w:rsidR="008E66DD">
        <w:rPr>
          <w:rFonts w:ascii="Arial" w:hAnsi="Arial" w:cs="Arial"/>
          <w:b/>
          <w:sz w:val="24"/>
          <w:szCs w:val="24"/>
        </w:rPr>
        <w:t>/Condition</w:t>
      </w:r>
      <w:r>
        <w:rPr>
          <w:rFonts w:ascii="Arial" w:hAnsi="Arial" w:cs="Arial"/>
          <w:b/>
          <w:sz w:val="24"/>
          <w:szCs w:val="24"/>
        </w:rPr>
        <w:t xml:space="preserve"> Upload Specifications</w:t>
      </w:r>
    </w:p>
    <w:p w:rsidR="003E6C7E" w:rsidRPr="000F04FC" w:rsidRDefault="003E6C7E" w:rsidP="00657BB4">
      <w:pPr>
        <w:rPr>
          <w:rFonts w:asciiTheme="minorHAnsi" w:hAnsiTheme="minorHAnsi" w:cs="Arial"/>
        </w:rPr>
      </w:pPr>
    </w:p>
    <w:p w:rsidR="003E6C7E" w:rsidRDefault="00B14CFA" w:rsidP="003E6C7E">
      <w:pPr>
        <w:rPr>
          <w:rFonts w:ascii="Arial" w:hAnsi="Arial" w:cs="Arial"/>
          <w:b/>
          <w:sz w:val="24"/>
          <w:szCs w:val="24"/>
          <w:u w:val="single"/>
        </w:rPr>
      </w:pPr>
      <w:r>
        <w:rPr>
          <w:rFonts w:ascii="Arial" w:hAnsi="Arial" w:cs="Arial"/>
          <w:b/>
          <w:sz w:val="24"/>
          <w:szCs w:val="24"/>
          <w:u w:val="single"/>
        </w:rPr>
        <w:t>Collateral Underwriting</w:t>
      </w:r>
      <w:r w:rsidR="008E66DD">
        <w:rPr>
          <w:rFonts w:ascii="Arial" w:hAnsi="Arial" w:cs="Arial"/>
          <w:b/>
          <w:sz w:val="24"/>
          <w:szCs w:val="24"/>
          <w:u w:val="single"/>
        </w:rPr>
        <w:t xml:space="preserve"> (CU)</w:t>
      </w:r>
    </w:p>
    <w:p w:rsidR="00AB0D05" w:rsidRDefault="00AB0D05" w:rsidP="003E6C7E">
      <w:pPr>
        <w:rPr>
          <w:rFonts w:ascii="Arial" w:hAnsi="Arial" w:cs="Arial"/>
          <w:b/>
          <w:sz w:val="24"/>
          <w:szCs w:val="24"/>
          <w:u w:val="single"/>
        </w:rPr>
      </w:pPr>
    </w:p>
    <w:p w:rsidR="00B14CFA" w:rsidRDefault="00B14CFA" w:rsidP="003E6C7E">
      <w:pPr>
        <w:rPr>
          <w:rFonts w:ascii="Arial" w:hAnsi="Arial" w:cs="Arial"/>
          <w:sz w:val="24"/>
          <w:szCs w:val="24"/>
        </w:rPr>
      </w:pPr>
      <w:r>
        <w:rPr>
          <w:rFonts w:ascii="Arial" w:hAnsi="Arial" w:cs="Arial"/>
          <w:sz w:val="24"/>
          <w:szCs w:val="24"/>
        </w:rPr>
        <w:t>As you are aware, last January, in a continued effort to obtain more consistent appraisal data, FNMA rolled out CU risk scores, flags and messages through the Uniform Collateral Data Portal.</w:t>
      </w:r>
    </w:p>
    <w:p w:rsidR="00B14CFA" w:rsidRDefault="00B14CFA" w:rsidP="003E6C7E">
      <w:pPr>
        <w:rPr>
          <w:rFonts w:ascii="Arial" w:hAnsi="Arial" w:cs="Arial"/>
          <w:sz w:val="24"/>
          <w:szCs w:val="24"/>
        </w:rPr>
      </w:pPr>
    </w:p>
    <w:p w:rsidR="00B14CFA" w:rsidRDefault="00B14CFA" w:rsidP="003E6C7E">
      <w:pPr>
        <w:rPr>
          <w:rFonts w:ascii="Arial" w:hAnsi="Arial" w:cs="Arial"/>
          <w:sz w:val="24"/>
          <w:szCs w:val="24"/>
        </w:rPr>
      </w:pPr>
      <w:r>
        <w:rPr>
          <w:rFonts w:ascii="Arial" w:hAnsi="Arial" w:cs="Arial"/>
          <w:sz w:val="24"/>
          <w:szCs w:val="24"/>
        </w:rPr>
        <w:t xml:space="preserve">Additionally, in April of 2015, FNMA made available the Collateral Underwriter (CU) web-based user interface to non-seller correspondent </w:t>
      </w:r>
      <w:r w:rsidR="004E5EB8">
        <w:rPr>
          <w:rFonts w:ascii="Arial" w:hAnsi="Arial" w:cs="Arial"/>
          <w:sz w:val="24"/>
          <w:szCs w:val="24"/>
        </w:rPr>
        <w:t>lenders. This CU Complete Report</w:t>
      </w:r>
      <w:r>
        <w:rPr>
          <w:rFonts w:ascii="Arial" w:hAnsi="Arial" w:cs="Arial"/>
          <w:sz w:val="24"/>
          <w:szCs w:val="24"/>
        </w:rPr>
        <w:t xml:space="preserve"> provides a “deeper dive” than the data available on the UCDP report and includes comparable sales data, market trends, mapping, aerial photography, public records and other functionality which makes it possible to perform a much more in-depth analysis of an appraisal</w:t>
      </w:r>
      <w:r w:rsidR="004E5EB8">
        <w:rPr>
          <w:rFonts w:ascii="Arial" w:hAnsi="Arial" w:cs="Arial"/>
          <w:sz w:val="24"/>
          <w:szCs w:val="24"/>
        </w:rPr>
        <w:t>.</w:t>
      </w:r>
    </w:p>
    <w:p w:rsidR="004E5EB8" w:rsidRDefault="004E5EB8" w:rsidP="003E6C7E">
      <w:pPr>
        <w:rPr>
          <w:rFonts w:ascii="Arial" w:hAnsi="Arial" w:cs="Arial"/>
          <w:sz w:val="24"/>
          <w:szCs w:val="24"/>
        </w:rPr>
      </w:pPr>
    </w:p>
    <w:p w:rsidR="004E5EB8" w:rsidRDefault="004E5EB8" w:rsidP="003E6C7E">
      <w:pPr>
        <w:rPr>
          <w:rFonts w:ascii="Arial" w:hAnsi="Arial" w:cs="Arial"/>
          <w:sz w:val="24"/>
          <w:szCs w:val="24"/>
        </w:rPr>
      </w:pPr>
      <w:r>
        <w:rPr>
          <w:rFonts w:ascii="Arial" w:hAnsi="Arial" w:cs="Arial"/>
          <w:sz w:val="24"/>
          <w:szCs w:val="24"/>
        </w:rPr>
        <w:t>Why the reminder?</w:t>
      </w:r>
    </w:p>
    <w:p w:rsidR="004E5EB8" w:rsidRDefault="004E5EB8" w:rsidP="004E5EB8">
      <w:pPr>
        <w:rPr>
          <w:rFonts w:ascii="Arial" w:hAnsi="Arial" w:cs="Arial"/>
          <w:sz w:val="24"/>
          <w:szCs w:val="24"/>
        </w:rPr>
      </w:pPr>
    </w:p>
    <w:p w:rsidR="004E5EB8" w:rsidRDefault="004E5EB8" w:rsidP="004E5EB8">
      <w:pPr>
        <w:rPr>
          <w:rFonts w:ascii="Arial" w:hAnsi="Arial" w:cs="Arial"/>
          <w:sz w:val="24"/>
          <w:szCs w:val="24"/>
        </w:rPr>
      </w:pPr>
      <w:r w:rsidRPr="004E5EB8">
        <w:rPr>
          <w:rFonts w:ascii="Arial" w:hAnsi="Arial" w:cs="Arial"/>
          <w:sz w:val="24"/>
          <w:szCs w:val="24"/>
        </w:rPr>
        <w:t>It is important to remember that a risk score rating of 1, 2 or 3 does not necessarily mean that additional inquiry, on behalf of the underwriter, is not warranted. In many cases, a deeper look at these find</w:t>
      </w:r>
      <w:r>
        <w:rPr>
          <w:rFonts w:ascii="Arial" w:hAnsi="Arial" w:cs="Arial"/>
          <w:sz w:val="24"/>
          <w:szCs w:val="24"/>
        </w:rPr>
        <w:t>ings is warranted and advisable, and Cornerstone is beginning to receive audit feedback from FNMA regarding some of these lower risk factor ratings</w:t>
      </w:r>
      <w:r w:rsidR="008E104C">
        <w:rPr>
          <w:rFonts w:ascii="Arial" w:hAnsi="Arial" w:cs="Arial"/>
          <w:sz w:val="24"/>
          <w:szCs w:val="24"/>
        </w:rPr>
        <w:t>.</w:t>
      </w:r>
    </w:p>
    <w:p w:rsidR="004E5EB8" w:rsidRDefault="004E5EB8" w:rsidP="004E5EB8">
      <w:pPr>
        <w:rPr>
          <w:rFonts w:ascii="Arial" w:hAnsi="Arial" w:cs="Arial"/>
          <w:sz w:val="24"/>
          <w:szCs w:val="24"/>
        </w:rPr>
      </w:pPr>
    </w:p>
    <w:p w:rsidR="004E5EB8" w:rsidRDefault="004E5EB8" w:rsidP="004E5EB8">
      <w:pPr>
        <w:rPr>
          <w:rFonts w:ascii="Arial" w:hAnsi="Arial" w:cs="Arial"/>
          <w:sz w:val="24"/>
          <w:szCs w:val="24"/>
        </w:rPr>
      </w:pPr>
      <w:r>
        <w:rPr>
          <w:rFonts w:ascii="Arial" w:hAnsi="Arial" w:cs="Arial"/>
          <w:sz w:val="24"/>
          <w:szCs w:val="24"/>
        </w:rPr>
        <w:t xml:space="preserve">Therefore, </w:t>
      </w:r>
      <w:r w:rsidR="008E104C">
        <w:rPr>
          <w:rFonts w:ascii="Arial" w:hAnsi="Arial" w:cs="Arial"/>
          <w:sz w:val="24"/>
          <w:szCs w:val="24"/>
        </w:rPr>
        <w:t>the following requirements will become effective as of February 1, 2016:</w:t>
      </w:r>
    </w:p>
    <w:p w:rsidR="008E104C" w:rsidRDefault="008E104C" w:rsidP="004E5EB8">
      <w:pPr>
        <w:rPr>
          <w:rFonts w:ascii="Arial" w:hAnsi="Arial" w:cs="Arial"/>
          <w:sz w:val="24"/>
          <w:szCs w:val="24"/>
        </w:rPr>
      </w:pPr>
    </w:p>
    <w:p w:rsidR="008E104C" w:rsidRPr="008E66DD" w:rsidRDefault="008E104C" w:rsidP="004E5EB8">
      <w:pPr>
        <w:rPr>
          <w:rFonts w:ascii="Arial" w:hAnsi="Arial" w:cs="Arial"/>
          <w:b/>
          <w:sz w:val="24"/>
          <w:szCs w:val="24"/>
        </w:rPr>
      </w:pPr>
      <w:r w:rsidRPr="008E66DD">
        <w:rPr>
          <w:rFonts w:ascii="Arial" w:hAnsi="Arial" w:cs="Arial"/>
          <w:b/>
          <w:sz w:val="24"/>
          <w:szCs w:val="24"/>
        </w:rPr>
        <w:t>DELEGATED LOANS</w:t>
      </w:r>
    </w:p>
    <w:p w:rsidR="008E104C" w:rsidRDefault="008E104C" w:rsidP="004E5EB8">
      <w:pPr>
        <w:rPr>
          <w:rFonts w:ascii="Arial" w:hAnsi="Arial" w:cs="Arial"/>
          <w:sz w:val="24"/>
          <w:szCs w:val="24"/>
        </w:rPr>
      </w:pPr>
    </w:p>
    <w:p w:rsidR="008E104C" w:rsidRPr="008E66DD" w:rsidRDefault="008E104C" w:rsidP="008E66DD">
      <w:pPr>
        <w:pStyle w:val="ListParagraph"/>
        <w:numPr>
          <w:ilvl w:val="0"/>
          <w:numId w:val="21"/>
        </w:numPr>
        <w:rPr>
          <w:rFonts w:ascii="Arial" w:hAnsi="Arial" w:cs="Arial"/>
          <w:sz w:val="24"/>
          <w:szCs w:val="24"/>
        </w:rPr>
      </w:pPr>
      <w:r w:rsidRPr="008E66DD">
        <w:rPr>
          <w:rFonts w:ascii="Arial" w:hAnsi="Arial" w:cs="Arial"/>
          <w:b/>
          <w:sz w:val="24"/>
          <w:szCs w:val="24"/>
        </w:rPr>
        <w:t>Will require a copy of the CU Complete Report in every</w:t>
      </w:r>
      <w:r w:rsidR="00A053F1" w:rsidRPr="008E66DD">
        <w:rPr>
          <w:rFonts w:ascii="Arial" w:hAnsi="Arial" w:cs="Arial"/>
          <w:b/>
          <w:sz w:val="24"/>
          <w:szCs w:val="24"/>
        </w:rPr>
        <w:t xml:space="preserve"> conventional conforming loan</w:t>
      </w:r>
      <w:r w:rsidRPr="008E66DD">
        <w:rPr>
          <w:rFonts w:ascii="Arial" w:hAnsi="Arial" w:cs="Arial"/>
          <w:b/>
          <w:sz w:val="24"/>
          <w:szCs w:val="24"/>
        </w:rPr>
        <w:t xml:space="preserve"> file</w:t>
      </w:r>
      <w:r w:rsidRPr="008E66DD">
        <w:rPr>
          <w:rFonts w:ascii="Arial" w:hAnsi="Arial" w:cs="Arial"/>
          <w:sz w:val="24"/>
          <w:szCs w:val="24"/>
        </w:rPr>
        <w:t>; regardless of risk score. You should be able to pull a copy of this report along with your UCDP report. If this is not currently an option for you, please contact your software vendor for assistance.</w:t>
      </w:r>
    </w:p>
    <w:p w:rsidR="001D4943" w:rsidRDefault="001D4943" w:rsidP="004E5EB8">
      <w:pPr>
        <w:rPr>
          <w:rFonts w:ascii="Arial" w:hAnsi="Arial" w:cs="Arial"/>
          <w:sz w:val="24"/>
          <w:szCs w:val="24"/>
        </w:rPr>
      </w:pPr>
    </w:p>
    <w:p w:rsidR="001D4943" w:rsidRPr="008E66DD" w:rsidRDefault="001D4943" w:rsidP="008E66DD">
      <w:pPr>
        <w:pStyle w:val="ListParagraph"/>
        <w:numPr>
          <w:ilvl w:val="0"/>
          <w:numId w:val="21"/>
        </w:numPr>
        <w:rPr>
          <w:rFonts w:ascii="Arial" w:hAnsi="Arial" w:cs="Arial"/>
          <w:b/>
          <w:sz w:val="24"/>
          <w:szCs w:val="24"/>
        </w:rPr>
      </w:pPr>
      <w:r w:rsidRPr="008E66DD">
        <w:rPr>
          <w:rFonts w:ascii="Arial" w:hAnsi="Arial" w:cs="Arial"/>
          <w:b/>
          <w:sz w:val="24"/>
          <w:szCs w:val="24"/>
        </w:rPr>
        <w:t>We will continue to require a written statement from the underwriter, for risk scores of 4 or above, regarding how these specific messages were addressed.</w:t>
      </w:r>
    </w:p>
    <w:p w:rsidR="008E104C" w:rsidRDefault="008E104C" w:rsidP="004E5EB8">
      <w:pPr>
        <w:rPr>
          <w:rFonts w:ascii="Arial" w:hAnsi="Arial" w:cs="Arial"/>
          <w:sz w:val="24"/>
          <w:szCs w:val="24"/>
        </w:rPr>
      </w:pPr>
    </w:p>
    <w:p w:rsidR="008E104C" w:rsidRPr="008E66DD" w:rsidRDefault="008E104C" w:rsidP="008E66DD">
      <w:pPr>
        <w:pStyle w:val="ListParagraph"/>
        <w:numPr>
          <w:ilvl w:val="0"/>
          <w:numId w:val="21"/>
        </w:numPr>
        <w:rPr>
          <w:rFonts w:ascii="Arial" w:hAnsi="Arial" w:cs="Arial"/>
          <w:sz w:val="24"/>
          <w:szCs w:val="24"/>
        </w:rPr>
      </w:pPr>
      <w:r w:rsidRPr="008E66DD">
        <w:rPr>
          <w:rFonts w:ascii="Arial" w:hAnsi="Arial" w:cs="Arial"/>
          <w:b/>
          <w:sz w:val="24"/>
          <w:szCs w:val="24"/>
        </w:rPr>
        <w:t xml:space="preserve">Additionally, it is strongly advisable that </w:t>
      </w:r>
      <w:r w:rsidR="00A053F1" w:rsidRPr="008E66DD">
        <w:rPr>
          <w:rFonts w:ascii="Arial" w:hAnsi="Arial" w:cs="Arial"/>
          <w:b/>
          <w:sz w:val="24"/>
          <w:szCs w:val="24"/>
        </w:rPr>
        <w:t>your underwriter review this report and provide comments to the file as necessary.</w:t>
      </w:r>
      <w:r w:rsidR="00A053F1" w:rsidRPr="008E66DD">
        <w:rPr>
          <w:rFonts w:ascii="Arial" w:hAnsi="Arial" w:cs="Arial"/>
          <w:sz w:val="24"/>
          <w:szCs w:val="24"/>
        </w:rPr>
        <w:t xml:space="preserve"> We are providing a copy of the CU Job Aid that we use internally as a guide for reviewing the CU Complete Report. Although this aid is not exhaustive, it should be helpful in determining what, if any, additional steps need to be taken. A copy of this form will be available under the Checklist section of the Forms page on the correspondent website: </w:t>
      </w:r>
      <w:hyperlink r:id="rId8" w:history="1">
        <w:r w:rsidR="00A053F1" w:rsidRPr="008E66DD">
          <w:rPr>
            <w:rStyle w:val="Hyperlink"/>
            <w:rFonts w:ascii="Arial" w:hAnsi="Arial" w:cs="Arial"/>
            <w:sz w:val="24"/>
            <w:szCs w:val="24"/>
          </w:rPr>
          <w:t>www.chlcorrespondent.com</w:t>
        </w:r>
      </w:hyperlink>
      <w:r w:rsidR="00A053F1" w:rsidRPr="008E66DD">
        <w:rPr>
          <w:rFonts w:ascii="Arial" w:hAnsi="Arial" w:cs="Arial"/>
          <w:sz w:val="24"/>
          <w:szCs w:val="24"/>
        </w:rPr>
        <w:t>.</w:t>
      </w:r>
    </w:p>
    <w:p w:rsidR="00A053F1" w:rsidRDefault="00A053F1" w:rsidP="004E5EB8">
      <w:pPr>
        <w:rPr>
          <w:rFonts w:ascii="Arial" w:hAnsi="Arial" w:cs="Arial"/>
          <w:sz w:val="24"/>
          <w:szCs w:val="24"/>
        </w:rPr>
      </w:pPr>
    </w:p>
    <w:p w:rsidR="00A053F1" w:rsidRPr="008E66DD" w:rsidRDefault="00A053F1" w:rsidP="004E5EB8">
      <w:pPr>
        <w:rPr>
          <w:rFonts w:ascii="Arial" w:hAnsi="Arial" w:cs="Arial"/>
          <w:b/>
          <w:sz w:val="24"/>
          <w:szCs w:val="24"/>
        </w:rPr>
      </w:pPr>
      <w:r w:rsidRPr="008E66DD">
        <w:rPr>
          <w:rFonts w:ascii="Arial" w:hAnsi="Arial" w:cs="Arial"/>
          <w:b/>
          <w:sz w:val="24"/>
          <w:szCs w:val="24"/>
        </w:rPr>
        <w:t>NON DELEGATED LOANS/JUMBO LOANS</w:t>
      </w:r>
    </w:p>
    <w:p w:rsidR="00A053F1" w:rsidRDefault="00A053F1" w:rsidP="004E5EB8">
      <w:pPr>
        <w:rPr>
          <w:rFonts w:ascii="Arial" w:hAnsi="Arial" w:cs="Arial"/>
          <w:b/>
          <w:sz w:val="24"/>
          <w:szCs w:val="24"/>
          <w:u w:val="single"/>
        </w:rPr>
      </w:pPr>
    </w:p>
    <w:p w:rsidR="00A053F1" w:rsidRPr="008E66DD" w:rsidRDefault="001D4943" w:rsidP="008E66DD">
      <w:pPr>
        <w:pStyle w:val="ListParagraph"/>
        <w:numPr>
          <w:ilvl w:val="0"/>
          <w:numId w:val="22"/>
        </w:numPr>
        <w:rPr>
          <w:rFonts w:ascii="Arial" w:hAnsi="Arial" w:cs="Arial"/>
          <w:sz w:val="24"/>
          <w:szCs w:val="24"/>
        </w:rPr>
      </w:pPr>
      <w:r w:rsidRPr="008E66DD">
        <w:rPr>
          <w:rFonts w:ascii="Arial" w:hAnsi="Arial" w:cs="Arial"/>
          <w:b/>
          <w:sz w:val="24"/>
          <w:szCs w:val="24"/>
        </w:rPr>
        <w:t>Will require a copy of the CU Complete Report in every conventional conforming loan file</w:t>
      </w:r>
      <w:r w:rsidRPr="008E66DD">
        <w:rPr>
          <w:rFonts w:ascii="Arial" w:hAnsi="Arial" w:cs="Arial"/>
          <w:sz w:val="24"/>
          <w:szCs w:val="24"/>
        </w:rPr>
        <w:t>; regardless of risk score. You should be able to pull a copy of this report along with your UCDP report. If this is not currently an option for you, please contact your software vendor for assistance.</w:t>
      </w:r>
    </w:p>
    <w:p w:rsidR="001D4943" w:rsidRDefault="001D4943" w:rsidP="004E5EB8">
      <w:pPr>
        <w:rPr>
          <w:rFonts w:ascii="Arial" w:hAnsi="Arial" w:cs="Arial"/>
          <w:sz w:val="24"/>
          <w:szCs w:val="24"/>
        </w:rPr>
      </w:pPr>
    </w:p>
    <w:p w:rsidR="001D4943" w:rsidRPr="008E66DD" w:rsidRDefault="001D4943" w:rsidP="008E66DD">
      <w:pPr>
        <w:pStyle w:val="ListParagraph"/>
        <w:numPr>
          <w:ilvl w:val="0"/>
          <w:numId w:val="22"/>
        </w:numPr>
        <w:rPr>
          <w:rFonts w:ascii="Arial" w:hAnsi="Arial" w:cs="Arial"/>
          <w:sz w:val="24"/>
          <w:szCs w:val="24"/>
        </w:rPr>
      </w:pPr>
      <w:r w:rsidRPr="008E66DD">
        <w:rPr>
          <w:rFonts w:ascii="Arial" w:hAnsi="Arial" w:cs="Arial"/>
          <w:sz w:val="24"/>
          <w:szCs w:val="24"/>
        </w:rPr>
        <w:t>Later on this year, lenders will have the option of assigning CU Complete Reports to investors. Once this is available, we will require that you assign these reports to us at the time of underwriting submission. Stay tuned for additional information as it becomes available.</w:t>
      </w:r>
    </w:p>
    <w:p w:rsidR="001D4943" w:rsidRDefault="001D4943" w:rsidP="004E5EB8">
      <w:pPr>
        <w:rPr>
          <w:rFonts w:ascii="Arial" w:hAnsi="Arial" w:cs="Arial"/>
          <w:b/>
          <w:sz w:val="24"/>
          <w:szCs w:val="24"/>
          <w:u w:val="single"/>
        </w:rPr>
      </w:pPr>
    </w:p>
    <w:p w:rsidR="008E66DD" w:rsidRPr="008E66DD" w:rsidRDefault="008E66DD" w:rsidP="004E5EB8">
      <w:pPr>
        <w:rPr>
          <w:rFonts w:ascii="Arial" w:hAnsi="Arial" w:cs="Arial"/>
          <w:b/>
          <w:sz w:val="24"/>
          <w:szCs w:val="24"/>
          <w:u w:val="single"/>
        </w:rPr>
      </w:pPr>
      <w:r w:rsidRPr="008E66DD">
        <w:rPr>
          <w:rFonts w:ascii="Arial" w:hAnsi="Arial" w:cs="Arial"/>
          <w:b/>
          <w:sz w:val="24"/>
          <w:szCs w:val="24"/>
          <w:u w:val="single"/>
        </w:rPr>
        <w:t>Loan Package</w:t>
      </w:r>
      <w:r>
        <w:rPr>
          <w:rFonts w:ascii="Arial" w:hAnsi="Arial" w:cs="Arial"/>
          <w:b/>
          <w:sz w:val="24"/>
          <w:szCs w:val="24"/>
          <w:u w:val="single"/>
        </w:rPr>
        <w:t>/Condition</w:t>
      </w:r>
      <w:r w:rsidRPr="008E66DD">
        <w:rPr>
          <w:rFonts w:ascii="Arial" w:hAnsi="Arial" w:cs="Arial"/>
          <w:b/>
          <w:sz w:val="24"/>
          <w:szCs w:val="24"/>
          <w:u w:val="single"/>
        </w:rPr>
        <w:t xml:space="preserve"> Upload Specifications</w:t>
      </w:r>
    </w:p>
    <w:p w:rsidR="008E66DD" w:rsidRPr="00A053F1" w:rsidRDefault="008E66DD" w:rsidP="004E5EB8">
      <w:pPr>
        <w:rPr>
          <w:rFonts w:ascii="Arial" w:hAnsi="Arial" w:cs="Arial"/>
          <w:b/>
          <w:sz w:val="24"/>
          <w:szCs w:val="24"/>
          <w:u w:val="single"/>
        </w:rPr>
      </w:pPr>
    </w:p>
    <w:p w:rsidR="008E66DD" w:rsidRDefault="008E66DD" w:rsidP="003E6C7E">
      <w:pPr>
        <w:rPr>
          <w:rFonts w:ascii="Arial" w:hAnsi="Arial" w:cs="Arial"/>
          <w:sz w:val="24"/>
          <w:szCs w:val="24"/>
        </w:rPr>
      </w:pPr>
      <w:r>
        <w:rPr>
          <w:rFonts w:ascii="Arial" w:hAnsi="Arial" w:cs="Arial"/>
          <w:sz w:val="24"/>
          <w:szCs w:val="24"/>
        </w:rPr>
        <w:t>As a reminder, when uploading loan packages and conditions, please make sure you are using the correct options as follows:</w:t>
      </w:r>
    </w:p>
    <w:p w:rsidR="008E66DD" w:rsidRDefault="008E66DD" w:rsidP="003E6C7E">
      <w:pPr>
        <w:rPr>
          <w:rFonts w:ascii="Arial" w:hAnsi="Arial" w:cs="Arial"/>
          <w:sz w:val="24"/>
          <w:szCs w:val="24"/>
        </w:rPr>
      </w:pPr>
    </w:p>
    <w:p w:rsidR="00D35D7E" w:rsidRPr="00D35D7E" w:rsidRDefault="00D35D7E" w:rsidP="003E6C7E">
      <w:pPr>
        <w:rPr>
          <w:rFonts w:ascii="Arial" w:hAnsi="Arial" w:cs="Arial"/>
          <w:sz w:val="24"/>
          <w:szCs w:val="24"/>
        </w:rPr>
      </w:pPr>
      <w:r>
        <w:rPr>
          <w:rFonts w:ascii="Arial" w:hAnsi="Arial" w:cs="Arial"/>
          <w:b/>
          <w:sz w:val="24"/>
          <w:szCs w:val="24"/>
        </w:rPr>
        <w:lastRenderedPageBreak/>
        <w:t>DELEGATED LENDER</w:t>
      </w:r>
    </w:p>
    <w:p w:rsidR="00D35D7E" w:rsidRDefault="00D35D7E" w:rsidP="003E6C7E">
      <w:pPr>
        <w:rPr>
          <w:rFonts w:ascii="Arial" w:hAnsi="Arial" w:cs="Arial"/>
          <w:sz w:val="24"/>
          <w:szCs w:val="24"/>
        </w:rPr>
      </w:pPr>
    </w:p>
    <w:p w:rsidR="008E66DD" w:rsidRDefault="00D35D7E" w:rsidP="003E6C7E">
      <w:pPr>
        <w:rPr>
          <w:rFonts w:ascii="Arial" w:hAnsi="Arial" w:cs="Arial"/>
          <w:sz w:val="24"/>
          <w:szCs w:val="24"/>
        </w:rPr>
      </w:pPr>
      <w:r>
        <w:rPr>
          <w:rFonts w:ascii="Arial" w:hAnsi="Arial" w:cs="Arial"/>
          <w:sz w:val="24"/>
          <w:szCs w:val="24"/>
        </w:rPr>
        <w:t>To submit a purchase file, c</w:t>
      </w:r>
      <w:r w:rsidR="008E66DD">
        <w:rPr>
          <w:rFonts w:ascii="Arial" w:hAnsi="Arial" w:cs="Arial"/>
          <w:sz w:val="24"/>
          <w:szCs w:val="24"/>
        </w:rPr>
        <w:t>lick on the Loan Package button and select the PURCHASE FILE (delegated submission for purchase review) option.</w:t>
      </w:r>
    </w:p>
    <w:p w:rsidR="008E66DD" w:rsidRDefault="008E66DD" w:rsidP="00D35D7E">
      <w:pPr>
        <w:ind w:left="720"/>
        <w:rPr>
          <w:rFonts w:ascii="Arial" w:hAnsi="Arial" w:cs="Arial"/>
          <w:sz w:val="24"/>
          <w:szCs w:val="24"/>
        </w:rPr>
      </w:pPr>
      <w:r>
        <w:rPr>
          <w:noProof/>
        </w:rPr>
        <w:drawing>
          <wp:inline distT="0" distB="0" distL="0" distR="0" wp14:anchorId="773A069B" wp14:editId="6FA14E96">
            <wp:extent cx="39052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0" cy="466725"/>
                    </a:xfrm>
                    <a:prstGeom prst="rect">
                      <a:avLst/>
                    </a:prstGeom>
                  </pic:spPr>
                </pic:pic>
              </a:graphicData>
            </a:graphic>
          </wp:inline>
        </w:drawing>
      </w:r>
    </w:p>
    <w:p w:rsidR="00D35D7E" w:rsidRDefault="00D35D7E" w:rsidP="003E6C7E">
      <w:pPr>
        <w:rPr>
          <w:rFonts w:ascii="Arial" w:hAnsi="Arial" w:cs="Arial"/>
          <w:sz w:val="24"/>
          <w:szCs w:val="24"/>
        </w:rPr>
      </w:pPr>
    </w:p>
    <w:p w:rsidR="00D35D7E" w:rsidRPr="00D35D7E" w:rsidRDefault="00D35D7E" w:rsidP="003E6C7E">
      <w:pPr>
        <w:rPr>
          <w:rFonts w:ascii="Arial" w:hAnsi="Arial" w:cs="Arial"/>
          <w:i/>
          <w:sz w:val="24"/>
          <w:szCs w:val="24"/>
        </w:rPr>
      </w:pPr>
      <w:r>
        <w:rPr>
          <w:rFonts w:ascii="Arial" w:hAnsi="Arial" w:cs="Arial"/>
          <w:sz w:val="24"/>
          <w:szCs w:val="24"/>
        </w:rPr>
        <w:t xml:space="preserve">To submit Conditions, please click on the Loan Condition button and select the CLD option. </w:t>
      </w:r>
      <w:r w:rsidRPr="00D35D7E">
        <w:rPr>
          <w:rFonts w:ascii="Arial" w:hAnsi="Arial" w:cs="Arial"/>
          <w:i/>
          <w:sz w:val="24"/>
          <w:szCs w:val="24"/>
        </w:rPr>
        <w:t>Note: it is extremely helpful if you send one condition per browse file.</w:t>
      </w:r>
    </w:p>
    <w:p w:rsidR="008E66DD" w:rsidRDefault="008E66DD" w:rsidP="003E6C7E">
      <w:pPr>
        <w:rPr>
          <w:rFonts w:ascii="Arial" w:hAnsi="Arial" w:cs="Arial"/>
          <w:sz w:val="24"/>
          <w:szCs w:val="24"/>
        </w:rPr>
      </w:pPr>
    </w:p>
    <w:p w:rsidR="00D35D7E" w:rsidRDefault="00D35D7E" w:rsidP="00D35D7E">
      <w:pPr>
        <w:ind w:left="720"/>
        <w:rPr>
          <w:rFonts w:ascii="Arial" w:hAnsi="Arial" w:cs="Arial"/>
          <w:sz w:val="24"/>
          <w:szCs w:val="24"/>
        </w:rPr>
      </w:pPr>
      <w:r>
        <w:rPr>
          <w:noProof/>
        </w:rPr>
        <w:drawing>
          <wp:inline distT="0" distB="0" distL="0" distR="0" wp14:anchorId="416F1C7C" wp14:editId="5EB74838">
            <wp:extent cx="33528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2800" cy="485775"/>
                    </a:xfrm>
                    <a:prstGeom prst="rect">
                      <a:avLst/>
                    </a:prstGeom>
                  </pic:spPr>
                </pic:pic>
              </a:graphicData>
            </a:graphic>
          </wp:inline>
        </w:drawing>
      </w:r>
    </w:p>
    <w:p w:rsidR="00D35D7E" w:rsidRDefault="00D35D7E" w:rsidP="003E6C7E">
      <w:pPr>
        <w:rPr>
          <w:rFonts w:ascii="Arial" w:hAnsi="Arial" w:cs="Arial"/>
          <w:sz w:val="24"/>
          <w:szCs w:val="24"/>
        </w:rPr>
      </w:pPr>
    </w:p>
    <w:p w:rsidR="00D35D7E" w:rsidRPr="00D35D7E" w:rsidRDefault="00D35D7E" w:rsidP="003E6C7E">
      <w:pPr>
        <w:rPr>
          <w:rFonts w:ascii="Arial" w:hAnsi="Arial" w:cs="Arial"/>
          <w:b/>
          <w:sz w:val="24"/>
          <w:szCs w:val="24"/>
        </w:rPr>
      </w:pPr>
      <w:r>
        <w:rPr>
          <w:rFonts w:ascii="Arial" w:hAnsi="Arial" w:cs="Arial"/>
          <w:b/>
          <w:sz w:val="24"/>
          <w:szCs w:val="24"/>
        </w:rPr>
        <w:t>NON-DELEGATED LENDER/PRODUCT</w:t>
      </w:r>
    </w:p>
    <w:p w:rsidR="00D35D7E" w:rsidRDefault="00D35D7E" w:rsidP="003E6C7E">
      <w:pPr>
        <w:rPr>
          <w:rFonts w:ascii="Arial" w:hAnsi="Arial" w:cs="Arial"/>
          <w:sz w:val="24"/>
          <w:szCs w:val="24"/>
        </w:rPr>
      </w:pPr>
    </w:p>
    <w:p w:rsidR="00D35D7E" w:rsidRDefault="00D35D7E" w:rsidP="003E6C7E">
      <w:pPr>
        <w:rPr>
          <w:rFonts w:ascii="Arial" w:hAnsi="Arial" w:cs="Arial"/>
          <w:sz w:val="24"/>
          <w:szCs w:val="24"/>
        </w:rPr>
      </w:pPr>
      <w:r>
        <w:rPr>
          <w:rFonts w:ascii="Arial" w:hAnsi="Arial" w:cs="Arial"/>
          <w:sz w:val="24"/>
          <w:szCs w:val="24"/>
        </w:rPr>
        <w:t>To submit the underwriting file, click on the Loan Package button and select UW SUBMISSION (non-delegated files to be underwritten)</w:t>
      </w:r>
    </w:p>
    <w:p w:rsidR="00D35D7E" w:rsidRDefault="00D35D7E" w:rsidP="003E6C7E">
      <w:pPr>
        <w:rPr>
          <w:rFonts w:ascii="Arial" w:hAnsi="Arial" w:cs="Arial"/>
          <w:sz w:val="24"/>
          <w:szCs w:val="24"/>
        </w:rPr>
      </w:pPr>
    </w:p>
    <w:p w:rsidR="00B14CFA" w:rsidRDefault="00D35D7E" w:rsidP="00D35D7E">
      <w:pPr>
        <w:ind w:left="720"/>
        <w:rPr>
          <w:rFonts w:ascii="Arial" w:hAnsi="Arial" w:cs="Arial"/>
          <w:sz w:val="24"/>
          <w:szCs w:val="24"/>
        </w:rPr>
      </w:pPr>
      <w:r>
        <w:rPr>
          <w:noProof/>
        </w:rPr>
        <w:drawing>
          <wp:inline distT="0" distB="0" distL="0" distR="0" wp14:anchorId="12F8EC1C" wp14:editId="4ACC7E2C">
            <wp:extent cx="397192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1925" cy="476250"/>
                    </a:xfrm>
                    <a:prstGeom prst="rect">
                      <a:avLst/>
                    </a:prstGeom>
                  </pic:spPr>
                </pic:pic>
              </a:graphicData>
            </a:graphic>
          </wp:inline>
        </w:drawing>
      </w:r>
    </w:p>
    <w:p w:rsidR="00D35D7E" w:rsidRDefault="00D35D7E" w:rsidP="00D35D7E">
      <w:pPr>
        <w:ind w:left="720"/>
        <w:rPr>
          <w:rFonts w:ascii="Arial" w:hAnsi="Arial" w:cs="Arial"/>
          <w:sz w:val="24"/>
          <w:szCs w:val="24"/>
        </w:rPr>
      </w:pPr>
    </w:p>
    <w:p w:rsidR="00D35D7E" w:rsidRDefault="00D35D7E" w:rsidP="00D35D7E">
      <w:pPr>
        <w:rPr>
          <w:rFonts w:ascii="Arial" w:hAnsi="Arial" w:cs="Arial"/>
          <w:sz w:val="24"/>
          <w:szCs w:val="24"/>
        </w:rPr>
      </w:pPr>
      <w:r>
        <w:rPr>
          <w:rFonts w:ascii="Arial" w:hAnsi="Arial" w:cs="Arial"/>
          <w:sz w:val="24"/>
          <w:szCs w:val="24"/>
        </w:rPr>
        <w:t>To submit underwriting conditions, click on Loan Condition button and select UNDERWRITING option</w:t>
      </w:r>
    </w:p>
    <w:p w:rsidR="00D35D7E" w:rsidRDefault="00D35D7E" w:rsidP="00D35D7E">
      <w:pPr>
        <w:rPr>
          <w:rFonts w:ascii="Arial" w:hAnsi="Arial" w:cs="Arial"/>
          <w:sz w:val="24"/>
          <w:szCs w:val="24"/>
        </w:rPr>
      </w:pPr>
    </w:p>
    <w:p w:rsidR="00D35D7E" w:rsidRDefault="00D35D7E" w:rsidP="00D35D7E">
      <w:pPr>
        <w:ind w:left="720"/>
        <w:rPr>
          <w:rFonts w:ascii="Arial" w:hAnsi="Arial" w:cs="Arial"/>
          <w:sz w:val="24"/>
          <w:szCs w:val="24"/>
        </w:rPr>
      </w:pPr>
      <w:r>
        <w:rPr>
          <w:noProof/>
        </w:rPr>
        <w:drawing>
          <wp:inline distT="0" distB="0" distL="0" distR="0" wp14:anchorId="78E33535" wp14:editId="2F82CF05">
            <wp:extent cx="34194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9475" cy="504825"/>
                    </a:xfrm>
                    <a:prstGeom prst="rect">
                      <a:avLst/>
                    </a:prstGeom>
                  </pic:spPr>
                </pic:pic>
              </a:graphicData>
            </a:graphic>
          </wp:inline>
        </w:drawing>
      </w:r>
    </w:p>
    <w:p w:rsidR="00D35D7E" w:rsidRDefault="00D35D7E" w:rsidP="00D35D7E">
      <w:pPr>
        <w:ind w:left="720"/>
        <w:rPr>
          <w:rFonts w:ascii="Arial" w:hAnsi="Arial" w:cs="Arial"/>
          <w:sz w:val="24"/>
          <w:szCs w:val="24"/>
        </w:rPr>
      </w:pPr>
    </w:p>
    <w:p w:rsidR="00D35D7E" w:rsidRDefault="00D35D7E" w:rsidP="00D35D7E">
      <w:pPr>
        <w:rPr>
          <w:rFonts w:ascii="Arial" w:hAnsi="Arial" w:cs="Arial"/>
          <w:sz w:val="24"/>
          <w:szCs w:val="24"/>
        </w:rPr>
      </w:pPr>
      <w:r>
        <w:rPr>
          <w:rFonts w:ascii="Arial" w:hAnsi="Arial" w:cs="Arial"/>
          <w:sz w:val="24"/>
          <w:szCs w:val="24"/>
        </w:rPr>
        <w:t xml:space="preserve">Once you have received a Clear to Purchase and are ready to send the closing package, click the Loan Package button and select the </w:t>
      </w:r>
      <w:r w:rsidR="006664A8">
        <w:rPr>
          <w:rFonts w:ascii="Arial" w:hAnsi="Arial" w:cs="Arial"/>
          <w:sz w:val="24"/>
          <w:szCs w:val="24"/>
        </w:rPr>
        <w:t>CLOSING FILE (closing package for non-delegated approved/closed file) option.</w:t>
      </w:r>
    </w:p>
    <w:p w:rsidR="006664A8" w:rsidRDefault="006664A8" w:rsidP="00D35D7E">
      <w:pPr>
        <w:rPr>
          <w:rFonts w:ascii="Arial" w:hAnsi="Arial" w:cs="Arial"/>
          <w:sz w:val="24"/>
          <w:szCs w:val="24"/>
        </w:rPr>
      </w:pPr>
    </w:p>
    <w:p w:rsidR="006664A8" w:rsidRDefault="006664A8" w:rsidP="006664A8">
      <w:pPr>
        <w:ind w:left="720"/>
        <w:rPr>
          <w:rFonts w:ascii="Arial" w:hAnsi="Arial" w:cs="Arial"/>
          <w:sz w:val="24"/>
          <w:szCs w:val="24"/>
        </w:rPr>
      </w:pPr>
      <w:r>
        <w:rPr>
          <w:noProof/>
        </w:rPr>
        <w:drawing>
          <wp:inline distT="0" distB="0" distL="0" distR="0" wp14:anchorId="7A26C6F8" wp14:editId="2F1C0527">
            <wp:extent cx="39624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2400" cy="533400"/>
                    </a:xfrm>
                    <a:prstGeom prst="rect">
                      <a:avLst/>
                    </a:prstGeom>
                  </pic:spPr>
                </pic:pic>
              </a:graphicData>
            </a:graphic>
          </wp:inline>
        </w:drawing>
      </w:r>
    </w:p>
    <w:p w:rsidR="006664A8" w:rsidRDefault="006664A8" w:rsidP="006664A8">
      <w:pPr>
        <w:ind w:left="720"/>
        <w:rPr>
          <w:rFonts w:ascii="Arial" w:hAnsi="Arial" w:cs="Arial"/>
          <w:sz w:val="24"/>
          <w:szCs w:val="24"/>
        </w:rPr>
      </w:pPr>
    </w:p>
    <w:p w:rsidR="006664A8" w:rsidRDefault="006664A8" w:rsidP="006664A8">
      <w:pPr>
        <w:rPr>
          <w:rFonts w:ascii="Arial" w:hAnsi="Arial" w:cs="Arial"/>
          <w:sz w:val="24"/>
          <w:szCs w:val="24"/>
        </w:rPr>
      </w:pPr>
    </w:p>
    <w:p w:rsidR="006664A8" w:rsidRPr="00D35D7E" w:rsidRDefault="006664A8" w:rsidP="006664A8">
      <w:pPr>
        <w:rPr>
          <w:rFonts w:ascii="Arial" w:hAnsi="Arial" w:cs="Arial"/>
          <w:i/>
          <w:sz w:val="24"/>
          <w:szCs w:val="24"/>
        </w:rPr>
      </w:pPr>
      <w:r>
        <w:rPr>
          <w:rFonts w:ascii="Arial" w:hAnsi="Arial" w:cs="Arial"/>
          <w:sz w:val="24"/>
          <w:szCs w:val="24"/>
        </w:rPr>
        <w:t xml:space="preserve">To submit </w:t>
      </w:r>
      <w:r>
        <w:rPr>
          <w:rFonts w:ascii="Arial" w:hAnsi="Arial" w:cs="Arial"/>
          <w:sz w:val="24"/>
          <w:szCs w:val="24"/>
        </w:rPr>
        <w:t xml:space="preserve">Purchase </w:t>
      </w:r>
      <w:r>
        <w:rPr>
          <w:rFonts w:ascii="Arial" w:hAnsi="Arial" w:cs="Arial"/>
          <w:sz w:val="24"/>
          <w:szCs w:val="24"/>
        </w:rPr>
        <w:t>Conditions</w:t>
      </w:r>
      <w:r>
        <w:rPr>
          <w:rFonts w:ascii="Arial" w:hAnsi="Arial" w:cs="Arial"/>
          <w:sz w:val="24"/>
          <w:szCs w:val="24"/>
        </w:rPr>
        <w:t xml:space="preserve"> (CLD)</w:t>
      </w:r>
      <w:r>
        <w:rPr>
          <w:rFonts w:ascii="Arial" w:hAnsi="Arial" w:cs="Arial"/>
          <w:sz w:val="24"/>
          <w:szCs w:val="24"/>
        </w:rPr>
        <w:t xml:space="preserve">, please click on the Loan Condition button and select the CLD option. </w:t>
      </w:r>
      <w:r w:rsidRPr="00D35D7E">
        <w:rPr>
          <w:rFonts w:ascii="Arial" w:hAnsi="Arial" w:cs="Arial"/>
          <w:i/>
          <w:sz w:val="24"/>
          <w:szCs w:val="24"/>
        </w:rPr>
        <w:t>Note: it is extremely helpful if you send one condition per browse file.</w:t>
      </w:r>
    </w:p>
    <w:p w:rsidR="006664A8" w:rsidRDefault="006664A8" w:rsidP="006664A8">
      <w:pPr>
        <w:rPr>
          <w:rFonts w:ascii="Arial" w:hAnsi="Arial" w:cs="Arial"/>
          <w:sz w:val="24"/>
          <w:szCs w:val="24"/>
        </w:rPr>
      </w:pPr>
    </w:p>
    <w:p w:rsidR="006664A8" w:rsidRDefault="006664A8" w:rsidP="006664A8">
      <w:pPr>
        <w:ind w:left="720"/>
        <w:rPr>
          <w:rFonts w:ascii="Arial" w:hAnsi="Arial" w:cs="Arial"/>
          <w:sz w:val="24"/>
          <w:szCs w:val="24"/>
        </w:rPr>
      </w:pPr>
      <w:r>
        <w:rPr>
          <w:noProof/>
        </w:rPr>
        <w:drawing>
          <wp:inline distT="0" distB="0" distL="0" distR="0" wp14:anchorId="6D574E3A" wp14:editId="4960F5D0">
            <wp:extent cx="335280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2800" cy="485775"/>
                    </a:xfrm>
                    <a:prstGeom prst="rect">
                      <a:avLst/>
                    </a:prstGeom>
                  </pic:spPr>
                </pic:pic>
              </a:graphicData>
            </a:graphic>
          </wp:inline>
        </w:drawing>
      </w:r>
    </w:p>
    <w:p w:rsidR="006664A8" w:rsidRDefault="006664A8" w:rsidP="006664A8">
      <w:pPr>
        <w:ind w:left="720"/>
        <w:rPr>
          <w:rFonts w:ascii="Arial" w:hAnsi="Arial" w:cs="Arial"/>
          <w:sz w:val="24"/>
          <w:szCs w:val="24"/>
        </w:rPr>
      </w:pPr>
    </w:p>
    <w:p w:rsidR="006664A8" w:rsidRDefault="006664A8" w:rsidP="006664A8">
      <w:pPr>
        <w:ind w:left="720"/>
        <w:rPr>
          <w:rFonts w:ascii="Arial" w:hAnsi="Arial" w:cs="Arial"/>
          <w:sz w:val="24"/>
          <w:szCs w:val="24"/>
        </w:rPr>
      </w:pPr>
    </w:p>
    <w:p w:rsidR="00D35D7E" w:rsidRDefault="00D35D7E" w:rsidP="00D35D7E">
      <w:pPr>
        <w:rPr>
          <w:rFonts w:ascii="Arial" w:hAnsi="Arial" w:cs="Arial"/>
          <w:sz w:val="24"/>
          <w:szCs w:val="24"/>
        </w:rPr>
      </w:pPr>
      <w:bookmarkStart w:id="0" w:name="_GoBack"/>
      <w:bookmarkEnd w:id="0"/>
    </w:p>
    <w:p w:rsidR="00E952B4" w:rsidRPr="001D4943" w:rsidRDefault="00E952B4">
      <w:pPr>
        <w:rPr>
          <w:rFonts w:ascii="Arial" w:hAnsi="Arial" w:cs="Arial"/>
          <w:b/>
          <w:sz w:val="24"/>
          <w:szCs w:val="24"/>
        </w:rPr>
      </w:pPr>
      <w:r w:rsidRPr="001D4943">
        <w:rPr>
          <w:rFonts w:ascii="Arial" w:hAnsi="Arial" w:cs="Arial"/>
          <w:b/>
          <w:sz w:val="24"/>
          <w:szCs w:val="24"/>
        </w:rPr>
        <w:t xml:space="preserve">As always, your business is greatly appreciated. If you have questions regarding these issues, please contact me at </w:t>
      </w:r>
      <w:hyperlink r:id="rId14" w:history="1">
        <w:r w:rsidR="004627A5" w:rsidRPr="001D4943">
          <w:rPr>
            <w:rStyle w:val="Hyperlink"/>
            <w:rFonts w:ascii="Arial" w:hAnsi="Arial" w:cs="Arial"/>
            <w:b/>
            <w:sz w:val="24"/>
            <w:szCs w:val="24"/>
          </w:rPr>
          <w:t>abreidenbach@houseloan.com</w:t>
        </w:r>
      </w:hyperlink>
      <w:r w:rsidRPr="001D4943">
        <w:rPr>
          <w:rFonts w:ascii="Arial" w:hAnsi="Arial" w:cs="Arial"/>
          <w:b/>
          <w:sz w:val="24"/>
          <w:szCs w:val="24"/>
        </w:rPr>
        <w:t>.</w:t>
      </w:r>
    </w:p>
    <w:p w:rsidR="004627A5" w:rsidRDefault="004627A5">
      <w:pPr>
        <w:rPr>
          <w:rFonts w:ascii="Arial" w:hAnsi="Arial" w:cs="Arial"/>
          <w:b/>
        </w:rPr>
      </w:pPr>
    </w:p>
    <w:p w:rsidR="004627A5" w:rsidRDefault="004627A5" w:rsidP="004627A5">
      <w:pPr>
        <w:rPr>
          <w:color w:val="1F497D"/>
        </w:rPr>
      </w:pPr>
      <w:r>
        <w:rPr>
          <w:rFonts w:ascii="Californian FB" w:hAnsi="Californian FB"/>
          <w:b/>
          <w:bCs/>
          <w:i/>
          <w:iCs/>
          <w:color w:val="244061"/>
        </w:rPr>
        <w:t>The content of this communication is confidential and is not intended for consumer use or for distribution to any third party without prior written consent from Cornerstone Home Lending, Inc.</w:t>
      </w:r>
    </w:p>
    <w:p w:rsidR="004627A5" w:rsidRDefault="004627A5" w:rsidP="004627A5"/>
    <w:p w:rsidR="004627A5" w:rsidRPr="00394A90" w:rsidRDefault="004627A5">
      <w:pPr>
        <w:rPr>
          <w:rFonts w:ascii="Arial" w:hAnsi="Arial" w:cs="Arial"/>
          <w:b/>
        </w:rPr>
      </w:pPr>
    </w:p>
    <w:sectPr w:rsidR="004627A5" w:rsidRPr="00394A90" w:rsidSect="00394A90">
      <w:pgSz w:w="12240" w:h="20160" w:code="5"/>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B4" w:rsidRDefault="00E952B4" w:rsidP="00E952B4">
      <w:r>
        <w:separator/>
      </w:r>
    </w:p>
  </w:endnote>
  <w:endnote w:type="continuationSeparator" w:id="0">
    <w:p w:rsidR="00E952B4" w:rsidRDefault="00E952B4" w:rsidP="00E9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B4" w:rsidRDefault="00E952B4" w:rsidP="00E952B4">
      <w:r>
        <w:separator/>
      </w:r>
    </w:p>
  </w:footnote>
  <w:footnote w:type="continuationSeparator" w:id="0">
    <w:p w:rsidR="00E952B4" w:rsidRDefault="00E952B4" w:rsidP="00E9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7C"/>
    <w:multiLevelType w:val="hybridMultilevel"/>
    <w:tmpl w:val="B7F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43A5"/>
    <w:multiLevelType w:val="hybridMultilevel"/>
    <w:tmpl w:val="193E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0137"/>
    <w:multiLevelType w:val="hybridMultilevel"/>
    <w:tmpl w:val="B9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73A9"/>
    <w:multiLevelType w:val="hybridMultilevel"/>
    <w:tmpl w:val="C31A49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E71B0"/>
    <w:multiLevelType w:val="hybridMultilevel"/>
    <w:tmpl w:val="997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11047"/>
    <w:multiLevelType w:val="hybridMultilevel"/>
    <w:tmpl w:val="0B9CD838"/>
    <w:lvl w:ilvl="0" w:tplc="AED47B0C">
      <w:start w:val="8"/>
      <w:numFmt w:val="bullet"/>
      <w:lvlText w:val=""/>
      <w:lvlJc w:val="left"/>
      <w:pPr>
        <w:ind w:left="720" w:hanging="360"/>
      </w:pPr>
      <w:rPr>
        <w:rFonts w:ascii="SymbolMT" w:eastAsiaTheme="minorHAnsi" w:hAnsi="Symbol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46264"/>
    <w:multiLevelType w:val="hybridMultilevel"/>
    <w:tmpl w:val="AADC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636"/>
    <w:multiLevelType w:val="hybridMultilevel"/>
    <w:tmpl w:val="D784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04A52"/>
    <w:multiLevelType w:val="hybridMultilevel"/>
    <w:tmpl w:val="DD96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D6EB6"/>
    <w:multiLevelType w:val="hybridMultilevel"/>
    <w:tmpl w:val="FDB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1680"/>
    <w:multiLevelType w:val="hybridMultilevel"/>
    <w:tmpl w:val="9E3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6CA"/>
    <w:multiLevelType w:val="hybridMultilevel"/>
    <w:tmpl w:val="9492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33348"/>
    <w:multiLevelType w:val="hybridMultilevel"/>
    <w:tmpl w:val="6FDCC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B7B24"/>
    <w:multiLevelType w:val="hybridMultilevel"/>
    <w:tmpl w:val="E93C2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C39C2"/>
    <w:multiLevelType w:val="hybridMultilevel"/>
    <w:tmpl w:val="08A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C22F8"/>
    <w:multiLevelType w:val="hybridMultilevel"/>
    <w:tmpl w:val="DA6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A28"/>
    <w:multiLevelType w:val="hybridMultilevel"/>
    <w:tmpl w:val="235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C3AE4"/>
    <w:multiLevelType w:val="hybridMultilevel"/>
    <w:tmpl w:val="0464E3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5206F5"/>
    <w:multiLevelType w:val="hybridMultilevel"/>
    <w:tmpl w:val="31B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C7F0D"/>
    <w:multiLevelType w:val="hybridMultilevel"/>
    <w:tmpl w:val="B65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74F0"/>
    <w:multiLevelType w:val="hybridMultilevel"/>
    <w:tmpl w:val="9738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A6E8D"/>
    <w:multiLevelType w:val="hybridMultilevel"/>
    <w:tmpl w:val="CCE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20"/>
  </w:num>
  <w:num w:numId="5">
    <w:abstractNumId w:val="19"/>
  </w:num>
  <w:num w:numId="6">
    <w:abstractNumId w:val="5"/>
  </w:num>
  <w:num w:numId="7">
    <w:abstractNumId w:val="9"/>
  </w:num>
  <w:num w:numId="8">
    <w:abstractNumId w:val="4"/>
  </w:num>
  <w:num w:numId="9">
    <w:abstractNumId w:val="10"/>
  </w:num>
  <w:num w:numId="10">
    <w:abstractNumId w:val="11"/>
  </w:num>
  <w:num w:numId="11">
    <w:abstractNumId w:val="8"/>
  </w:num>
  <w:num w:numId="12">
    <w:abstractNumId w:val="13"/>
  </w:num>
  <w:num w:numId="13">
    <w:abstractNumId w:val="17"/>
  </w:num>
  <w:num w:numId="14">
    <w:abstractNumId w:val="21"/>
  </w:num>
  <w:num w:numId="15">
    <w:abstractNumId w:val="14"/>
  </w:num>
  <w:num w:numId="16">
    <w:abstractNumId w:val="12"/>
  </w:num>
  <w:num w:numId="17">
    <w:abstractNumId w:val="3"/>
  </w:num>
  <w:num w:numId="18">
    <w:abstractNumId w:val="18"/>
  </w:num>
  <w:num w:numId="19">
    <w:abstractNumId w:val="15"/>
  </w:num>
  <w:num w:numId="20">
    <w:abstractNumId w:val="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5"/>
    <w:rsid w:val="000144FF"/>
    <w:rsid w:val="000D0322"/>
    <w:rsid w:val="000F04FC"/>
    <w:rsid w:val="001A04D8"/>
    <w:rsid w:val="001D4943"/>
    <w:rsid w:val="00200099"/>
    <w:rsid w:val="002A0499"/>
    <w:rsid w:val="002C2285"/>
    <w:rsid w:val="002E56BF"/>
    <w:rsid w:val="002E64F7"/>
    <w:rsid w:val="00384053"/>
    <w:rsid w:val="003927F5"/>
    <w:rsid w:val="00394A90"/>
    <w:rsid w:val="003B294A"/>
    <w:rsid w:val="003E6C7E"/>
    <w:rsid w:val="003F3173"/>
    <w:rsid w:val="004627A5"/>
    <w:rsid w:val="004E5075"/>
    <w:rsid w:val="004E5EB8"/>
    <w:rsid w:val="00572550"/>
    <w:rsid w:val="005E39A7"/>
    <w:rsid w:val="00645F24"/>
    <w:rsid w:val="00657BB4"/>
    <w:rsid w:val="006664A8"/>
    <w:rsid w:val="006C35CD"/>
    <w:rsid w:val="00753C7A"/>
    <w:rsid w:val="0075758B"/>
    <w:rsid w:val="00773C3A"/>
    <w:rsid w:val="00773CDA"/>
    <w:rsid w:val="00777937"/>
    <w:rsid w:val="007C1BF1"/>
    <w:rsid w:val="007D7B9C"/>
    <w:rsid w:val="00841005"/>
    <w:rsid w:val="008E104C"/>
    <w:rsid w:val="008E66DD"/>
    <w:rsid w:val="009841CB"/>
    <w:rsid w:val="00A00EAD"/>
    <w:rsid w:val="00A053F1"/>
    <w:rsid w:val="00A35AB7"/>
    <w:rsid w:val="00AA1412"/>
    <w:rsid w:val="00AB0D05"/>
    <w:rsid w:val="00B06747"/>
    <w:rsid w:val="00B14CFA"/>
    <w:rsid w:val="00B9661F"/>
    <w:rsid w:val="00C25062"/>
    <w:rsid w:val="00C432F1"/>
    <w:rsid w:val="00C66A15"/>
    <w:rsid w:val="00CF39AE"/>
    <w:rsid w:val="00D35D7E"/>
    <w:rsid w:val="00D50330"/>
    <w:rsid w:val="00D86BB0"/>
    <w:rsid w:val="00DC7F82"/>
    <w:rsid w:val="00DD000C"/>
    <w:rsid w:val="00DD3009"/>
    <w:rsid w:val="00E64DF3"/>
    <w:rsid w:val="00E952B4"/>
    <w:rsid w:val="00E960DA"/>
    <w:rsid w:val="00EB4FE9"/>
    <w:rsid w:val="00E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DB288-53AE-44E4-928C-3668893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75"/>
    <w:pPr>
      <w:ind w:left="720"/>
      <w:contextualSpacing/>
    </w:pPr>
  </w:style>
  <w:style w:type="paragraph" w:styleId="Header">
    <w:name w:val="header"/>
    <w:basedOn w:val="Normal"/>
    <w:link w:val="HeaderChar"/>
    <w:uiPriority w:val="99"/>
    <w:unhideWhenUsed/>
    <w:rsid w:val="00E952B4"/>
    <w:pPr>
      <w:tabs>
        <w:tab w:val="center" w:pos="4680"/>
        <w:tab w:val="right" w:pos="9360"/>
      </w:tabs>
    </w:pPr>
  </w:style>
  <w:style w:type="character" w:customStyle="1" w:styleId="HeaderChar">
    <w:name w:val="Header Char"/>
    <w:basedOn w:val="DefaultParagraphFont"/>
    <w:link w:val="Header"/>
    <w:uiPriority w:val="99"/>
    <w:rsid w:val="00E952B4"/>
    <w:rPr>
      <w:rFonts w:ascii="Calibri" w:hAnsi="Calibri" w:cs="Times New Roman"/>
    </w:rPr>
  </w:style>
  <w:style w:type="paragraph" w:styleId="Footer">
    <w:name w:val="footer"/>
    <w:basedOn w:val="Normal"/>
    <w:link w:val="FooterChar"/>
    <w:uiPriority w:val="99"/>
    <w:unhideWhenUsed/>
    <w:rsid w:val="00E952B4"/>
    <w:pPr>
      <w:tabs>
        <w:tab w:val="center" w:pos="4680"/>
        <w:tab w:val="right" w:pos="9360"/>
      </w:tabs>
    </w:pPr>
  </w:style>
  <w:style w:type="character" w:customStyle="1" w:styleId="FooterChar">
    <w:name w:val="Footer Char"/>
    <w:basedOn w:val="DefaultParagraphFont"/>
    <w:link w:val="Footer"/>
    <w:uiPriority w:val="99"/>
    <w:rsid w:val="00E952B4"/>
    <w:rPr>
      <w:rFonts w:ascii="Calibri" w:hAnsi="Calibri" w:cs="Times New Roman"/>
    </w:rPr>
  </w:style>
  <w:style w:type="paragraph" w:styleId="BalloonText">
    <w:name w:val="Balloon Text"/>
    <w:basedOn w:val="Normal"/>
    <w:link w:val="BalloonTextChar"/>
    <w:uiPriority w:val="99"/>
    <w:semiHidden/>
    <w:unhideWhenUsed/>
    <w:rsid w:val="00E952B4"/>
    <w:rPr>
      <w:rFonts w:ascii="Tahoma" w:hAnsi="Tahoma" w:cs="Tahoma"/>
      <w:sz w:val="16"/>
      <w:szCs w:val="16"/>
    </w:rPr>
  </w:style>
  <w:style w:type="character" w:customStyle="1" w:styleId="BalloonTextChar">
    <w:name w:val="Balloon Text Char"/>
    <w:basedOn w:val="DefaultParagraphFont"/>
    <w:link w:val="BalloonText"/>
    <w:uiPriority w:val="99"/>
    <w:semiHidden/>
    <w:rsid w:val="00E952B4"/>
    <w:rPr>
      <w:rFonts w:ascii="Tahoma" w:hAnsi="Tahoma" w:cs="Tahoma"/>
      <w:sz w:val="16"/>
      <w:szCs w:val="16"/>
    </w:rPr>
  </w:style>
  <w:style w:type="character" w:styleId="Hyperlink">
    <w:name w:val="Hyperlink"/>
    <w:basedOn w:val="DefaultParagraphFont"/>
    <w:uiPriority w:val="99"/>
    <w:unhideWhenUsed/>
    <w:rsid w:val="00657BB4"/>
    <w:rPr>
      <w:color w:val="0000FF" w:themeColor="hyperlink"/>
      <w:u w:val="single"/>
    </w:rPr>
  </w:style>
  <w:style w:type="table" w:styleId="TableGrid">
    <w:name w:val="Table Grid"/>
    <w:basedOn w:val="TableNormal"/>
    <w:uiPriority w:val="59"/>
    <w:rsid w:val="00657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0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760">
      <w:bodyDiv w:val="1"/>
      <w:marLeft w:val="0"/>
      <w:marRight w:val="0"/>
      <w:marTop w:val="0"/>
      <w:marBottom w:val="0"/>
      <w:divBdr>
        <w:top w:val="none" w:sz="0" w:space="0" w:color="auto"/>
        <w:left w:val="none" w:sz="0" w:space="0" w:color="auto"/>
        <w:bottom w:val="none" w:sz="0" w:space="0" w:color="auto"/>
        <w:right w:val="none" w:sz="0" w:space="0" w:color="auto"/>
      </w:divBdr>
    </w:div>
    <w:div w:id="510527464">
      <w:bodyDiv w:val="1"/>
      <w:marLeft w:val="0"/>
      <w:marRight w:val="0"/>
      <w:marTop w:val="0"/>
      <w:marBottom w:val="0"/>
      <w:divBdr>
        <w:top w:val="none" w:sz="0" w:space="0" w:color="auto"/>
        <w:left w:val="none" w:sz="0" w:space="0" w:color="auto"/>
        <w:bottom w:val="none" w:sz="0" w:space="0" w:color="auto"/>
        <w:right w:val="none" w:sz="0" w:space="0" w:color="auto"/>
      </w:divBdr>
    </w:div>
    <w:div w:id="655691982">
      <w:bodyDiv w:val="1"/>
      <w:marLeft w:val="0"/>
      <w:marRight w:val="0"/>
      <w:marTop w:val="0"/>
      <w:marBottom w:val="0"/>
      <w:divBdr>
        <w:top w:val="none" w:sz="0" w:space="0" w:color="auto"/>
        <w:left w:val="none" w:sz="0" w:space="0" w:color="auto"/>
        <w:bottom w:val="none" w:sz="0" w:space="0" w:color="auto"/>
        <w:right w:val="none" w:sz="0" w:space="0" w:color="auto"/>
      </w:divBdr>
    </w:div>
    <w:div w:id="668288027">
      <w:bodyDiv w:val="1"/>
      <w:marLeft w:val="0"/>
      <w:marRight w:val="0"/>
      <w:marTop w:val="0"/>
      <w:marBottom w:val="0"/>
      <w:divBdr>
        <w:top w:val="none" w:sz="0" w:space="0" w:color="auto"/>
        <w:left w:val="none" w:sz="0" w:space="0" w:color="auto"/>
        <w:bottom w:val="none" w:sz="0" w:space="0" w:color="auto"/>
        <w:right w:val="none" w:sz="0" w:space="0" w:color="auto"/>
      </w:divBdr>
    </w:div>
    <w:div w:id="1299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correspondent.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breidenbach@houselo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Breidenbach, Angela</dc:creator>
  <cp:lastModifiedBy>Breidenbach, Angela</cp:lastModifiedBy>
  <cp:revision>3</cp:revision>
  <dcterms:created xsi:type="dcterms:W3CDTF">2016-01-11T17:02:00Z</dcterms:created>
  <dcterms:modified xsi:type="dcterms:W3CDTF">2016-01-11T17:36:00Z</dcterms:modified>
</cp:coreProperties>
</file>