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B4" w:rsidRDefault="00E952B4" w:rsidP="004E5075">
      <w:pPr>
        <w:autoSpaceDE w:val="0"/>
        <w:autoSpaceDN w:val="0"/>
      </w:pPr>
    </w:p>
    <w:p w:rsidR="00E952B4" w:rsidRDefault="001A04D8" w:rsidP="00E952B4">
      <w:r>
        <w:rPr>
          <w:noProof/>
        </w:rPr>
        <w:drawing>
          <wp:inline distT="0" distB="0" distL="0" distR="0" wp14:anchorId="0F25FB6E" wp14:editId="3F2B62DC">
            <wp:extent cx="3361944" cy="856488"/>
            <wp:effectExtent l="19050" t="0" r="0" b="0"/>
            <wp:docPr id="1" name="Picture 0" descr="CornerstoneHomeLendingCLD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HomeLendingCLD_logo_300dpi.jpg"/>
                    <pic:cNvPicPr/>
                  </pic:nvPicPr>
                  <pic:blipFill>
                    <a:blip r:embed="rId7" cstate="print"/>
                    <a:stretch>
                      <a:fillRect/>
                    </a:stretch>
                  </pic:blipFill>
                  <pic:spPr>
                    <a:xfrm>
                      <a:off x="0" y="0"/>
                      <a:ext cx="3361944" cy="856488"/>
                    </a:xfrm>
                    <a:prstGeom prst="rect">
                      <a:avLst/>
                    </a:prstGeom>
                  </pic:spPr>
                </pic:pic>
              </a:graphicData>
            </a:graphic>
          </wp:inline>
        </w:drawing>
      </w:r>
    </w:p>
    <w:p w:rsidR="00E952B4" w:rsidRPr="00A844F8" w:rsidRDefault="00E952B4" w:rsidP="00E952B4">
      <w:pPr>
        <w:rPr>
          <w:rFonts w:ascii="Arial Rounded MT Bold" w:hAnsi="Arial Rounded MT Bold"/>
          <w:b/>
          <w:sz w:val="20"/>
          <w:szCs w:val="20"/>
        </w:rPr>
      </w:pPr>
    </w:p>
    <w:p w:rsidR="00E952B4" w:rsidRPr="00E960DA" w:rsidRDefault="00E952B4" w:rsidP="00E952B4">
      <w:pPr>
        <w:rPr>
          <w:rFonts w:ascii="Arial" w:hAnsi="Arial" w:cs="Arial"/>
          <w:b/>
          <w:sz w:val="24"/>
          <w:szCs w:val="24"/>
        </w:rPr>
      </w:pPr>
      <w:r w:rsidRPr="00E960DA">
        <w:rPr>
          <w:rFonts w:ascii="Arial" w:hAnsi="Arial" w:cs="Arial"/>
          <w:b/>
          <w:sz w:val="24"/>
          <w:szCs w:val="24"/>
        </w:rPr>
        <w:t>TO:</w:t>
      </w:r>
      <w:r w:rsidRPr="00E960DA">
        <w:rPr>
          <w:rFonts w:ascii="Arial" w:hAnsi="Arial" w:cs="Arial"/>
          <w:b/>
          <w:sz w:val="24"/>
          <w:szCs w:val="24"/>
        </w:rPr>
        <w:tab/>
      </w:r>
      <w:r w:rsidRPr="00E960DA">
        <w:rPr>
          <w:rFonts w:ascii="Arial" w:hAnsi="Arial" w:cs="Arial"/>
          <w:b/>
          <w:sz w:val="24"/>
          <w:szCs w:val="24"/>
        </w:rPr>
        <w:tab/>
        <w:t>Correspondent Lenders</w:t>
      </w:r>
    </w:p>
    <w:p w:rsidR="00E952B4" w:rsidRPr="00E960DA" w:rsidRDefault="00E952B4" w:rsidP="00E952B4">
      <w:pPr>
        <w:rPr>
          <w:rFonts w:ascii="Arial" w:hAnsi="Arial" w:cs="Arial"/>
          <w:b/>
          <w:sz w:val="24"/>
          <w:szCs w:val="24"/>
        </w:rPr>
      </w:pPr>
    </w:p>
    <w:p w:rsidR="00E952B4" w:rsidRPr="00E960DA" w:rsidRDefault="00E952B4" w:rsidP="00E952B4">
      <w:pPr>
        <w:outlineLvl w:val="0"/>
        <w:rPr>
          <w:rFonts w:ascii="Arial" w:hAnsi="Arial" w:cs="Arial"/>
          <w:b/>
          <w:sz w:val="24"/>
          <w:szCs w:val="24"/>
        </w:rPr>
      </w:pPr>
      <w:r w:rsidRPr="00E960DA">
        <w:rPr>
          <w:rFonts w:ascii="Arial" w:hAnsi="Arial" w:cs="Arial"/>
          <w:b/>
          <w:sz w:val="24"/>
          <w:szCs w:val="24"/>
        </w:rPr>
        <w:t>FROM:</w:t>
      </w:r>
      <w:r w:rsidRPr="00E960DA">
        <w:rPr>
          <w:rFonts w:ascii="Arial" w:hAnsi="Arial" w:cs="Arial"/>
          <w:b/>
          <w:sz w:val="24"/>
          <w:szCs w:val="24"/>
        </w:rPr>
        <w:tab/>
        <w:t>Angela Breidenbach, Operations Manager</w:t>
      </w:r>
    </w:p>
    <w:p w:rsidR="00E952B4" w:rsidRPr="00E960DA" w:rsidRDefault="00E952B4" w:rsidP="00E952B4">
      <w:pPr>
        <w:rPr>
          <w:rFonts w:ascii="Arial" w:hAnsi="Arial" w:cs="Arial"/>
          <w:b/>
          <w:sz w:val="24"/>
          <w:szCs w:val="24"/>
        </w:rPr>
      </w:pPr>
    </w:p>
    <w:p w:rsidR="00E952B4" w:rsidRPr="00E960DA" w:rsidRDefault="00E952B4" w:rsidP="00E952B4">
      <w:pPr>
        <w:rPr>
          <w:rFonts w:ascii="Arial" w:hAnsi="Arial" w:cs="Arial"/>
          <w:b/>
          <w:sz w:val="24"/>
          <w:szCs w:val="24"/>
        </w:rPr>
      </w:pPr>
      <w:r w:rsidRPr="00E960DA">
        <w:rPr>
          <w:rFonts w:ascii="Arial" w:hAnsi="Arial" w:cs="Arial"/>
          <w:b/>
          <w:sz w:val="24"/>
          <w:szCs w:val="24"/>
        </w:rPr>
        <w:t>DATE</w:t>
      </w:r>
      <w:r w:rsidRPr="00E960DA">
        <w:rPr>
          <w:rFonts w:ascii="Arial" w:hAnsi="Arial" w:cs="Arial"/>
          <w:b/>
          <w:sz w:val="24"/>
          <w:szCs w:val="24"/>
        </w:rPr>
        <w:tab/>
      </w:r>
      <w:r w:rsidRPr="00E960DA">
        <w:rPr>
          <w:rFonts w:ascii="Arial" w:hAnsi="Arial" w:cs="Arial"/>
          <w:b/>
          <w:sz w:val="24"/>
          <w:szCs w:val="24"/>
        </w:rPr>
        <w:tab/>
      </w:r>
      <w:r w:rsidR="00200E08">
        <w:rPr>
          <w:rFonts w:ascii="Arial" w:hAnsi="Arial" w:cs="Arial"/>
          <w:b/>
          <w:sz w:val="24"/>
          <w:szCs w:val="24"/>
        </w:rPr>
        <w:t>February 2, 2016</w:t>
      </w:r>
    </w:p>
    <w:p w:rsidR="00E952B4" w:rsidRPr="00E960DA" w:rsidRDefault="00E952B4" w:rsidP="00E952B4">
      <w:pPr>
        <w:rPr>
          <w:rFonts w:ascii="Arial" w:hAnsi="Arial" w:cs="Arial"/>
          <w:b/>
          <w:sz w:val="24"/>
          <w:szCs w:val="24"/>
        </w:rPr>
      </w:pPr>
    </w:p>
    <w:p w:rsidR="00B14CFA" w:rsidRPr="00E960DA" w:rsidRDefault="00E952B4" w:rsidP="00EF5409">
      <w:pPr>
        <w:rPr>
          <w:rFonts w:ascii="Arial" w:hAnsi="Arial" w:cs="Arial"/>
          <w:b/>
          <w:sz w:val="24"/>
          <w:szCs w:val="24"/>
        </w:rPr>
      </w:pPr>
      <w:r w:rsidRPr="00E960DA">
        <w:rPr>
          <w:rFonts w:ascii="Arial" w:hAnsi="Arial" w:cs="Arial"/>
          <w:b/>
          <w:sz w:val="24"/>
          <w:szCs w:val="24"/>
        </w:rPr>
        <w:t>RE:</w:t>
      </w:r>
      <w:r w:rsidRPr="00E960DA">
        <w:rPr>
          <w:rFonts w:ascii="Arial" w:hAnsi="Arial" w:cs="Arial"/>
          <w:b/>
          <w:sz w:val="24"/>
          <w:szCs w:val="24"/>
        </w:rPr>
        <w:tab/>
      </w:r>
      <w:r w:rsidRPr="00E960DA">
        <w:rPr>
          <w:rFonts w:ascii="Arial" w:hAnsi="Arial" w:cs="Arial"/>
          <w:b/>
          <w:sz w:val="24"/>
          <w:szCs w:val="24"/>
        </w:rPr>
        <w:tab/>
      </w:r>
      <w:r w:rsidR="00453C2D">
        <w:rPr>
          <w:rFonts w:ascii="Arial" w:hAnsi="Arial" w:cs="Arial"/>
          <w:b/>
          <w:sz w:val="24"/>
          <w:szCs w:val="24"/>
        </w:rPr>
        <w:t>New Mexico Clear to Close</w:t>
      </w:r>
    </w:p>
    <w:p w:rsidR="003E6C7E" w:rsidRDefault="003E6C7E" w:rsidP="00657BB4">
      <w:pPr>
        <w:rPr>
          <w:rFonts w:asciiTheme="minorHAnsi" w:hAnsiTheme="minorHAnsi" w:cs="Arial"/>
        </w:rPr>
      </w:pPr>
    </w:p>
    <w:p w:rsidR="009D21F8" w:rsidRPr="000F04FC" w:rsidRDefault="009D21F8" w:rsidP="00657BB4">
      <w:pPr>
        <w:rPr>
          <w:rFonts w:asciiTheme="minorHAnsi" w:hAnsiTheme="minorHAnsi" w:cs="Arial"/>
        </w:rPr>
      </w:pPr>
    </w:p>
    <w:p w:rsidR="00EF5409" w:rsidRDefault="00453C2D" w:rsidP="00D35D7E">
      <w:pPr>
        <w:rPr>
          <w:rFonts w:ascii="Arial" w:hAnsi="Arial" w:cs="Arial"/>
          <w:sz w:val="24"/>
          <w:szCs w:val="24"/>
        </w:rPr>
      </w:pPr>
      <w:r>
        <w:rPr>
          <w:rFonts w:ascii="Arial" w:hAnsi="Arial" w:cs="Arial"/>
          <w:sz w:val="24"/>
          <w:szCs w:val="24"/>
        </w:rPr>
        <w:t>In July of 2015, Cornerstone Correspondent Lending underwent an examination for compliance of all applicable state laws. During this examination it was determined that loans purchased from lenders originated on New Mexico properties were lacking language showing notification to the borrower(s) that they were clear to close as per NM statue 12.19.8.8:</w:t>
      </w:r>
    </w:p>
    <w:p w:rsidR="00453C2D" w:rsidRPr="00453C2D" w:rsidRDefault="00453C2D" w:rsidP="00D35D7E">
      <w:pPr>
        <w:rPr>
          <w:rFonts w:ascii="Arial" w:hAnsi="Arial" w:cs="Arial"/>
          <w:sz w:val="24"/>
          <w:szCs w:val="24"/>
        </w:rPr>
      </w:pPr>
    </w:p>
    <w:p w:rsidR="00453C2D" w:rsidRPr="00964CF2" w:rsidRDefault="00453C2D" w:rsidP="00453C2D">
      <w:r w:rsidRPr="00964CF2">
        <w:rPr>
          <w:rFonts w:ascii="Times New Roman" w:hAnsi="Times New Roman"/>
          <w:b/>
          <w:bCs/>
          <w:color w:val="000000"/>
        </w:rPr>
        <w:t>12.19.8.8               APPLICANT AND LICENSEE REQUIREMENTS:</w:t>
      </w:r>
    </w:p>
    <w:p w:rsidR="00453C2D" w:rsidRPr="00964CF2" w:rsidRDefault="00453C2D" w:rsidP="00453C2D">
      <w:r w:rsidRPr="00964CF2">
        <w:rPr>
          <w:rFonts w:ascii="Times New Roman" w:hAnsi="Times New Roman"/>
          <w:color w:val="000000"/>
        </w:rPr>
        <w:t>                </w:t>
      </w:r>
      <w:r w:rsidRPr="00964CF2">
        <w:rPr>
          <w:rFonts w:ascii="Times New Roman" w:hAnsi="Times New Roman"/>
          <w:b/>
          <w:bCs/>
          <w:color w:val="000000"/>
        </w:rPr>
        <w:t>A.</w:t>
      </w:r>
      <w:r w:rsidRPr="00964CF2">
        <w:rPr>
          <w:rFonts w:ascii="Times New Roman" w:hAnsi="Times New Roman"/>
          <w:color w:val="000000"/>
        </w:rPr>
        <w:t>            Application for licensure:</w:t>
      </w:r>
      <w:r w:rsidRPr="00964CF2">
        <w:rPr>
          <w:rFonts w:ascii="Times New Roman" w:hAnsi="Times New Roman"/>
          <w:i/>
          <w:iCs/>
          <w:color w:val="000000"/>
        </w:rPr>
        <w:t>  </w:t>
      </w:r>
      <w:r w:rsidRPr="00964CF2">
        <w:rPr>
          <w:rFonts w:ascii="Times New Roman" w:hAnsi="Times New Roman"/>
          <w:color w:val="000000"/>
        </w:rPr>
        <w:t>In addition to the information required by Section 58-21-4 NMSA 1978 of the act, each applicant for issuance or renewal of a license shall be subject to the following requirements:</w:t>
      </w:r>
    </w:p>
    <w:p w:rsidR="00453C2D" w:rsidRPr="00964CF2" w:rsidRDefault="00453C2D" w:rsidP="00453C2D">
      <w:r w:rsidRPr="00964CF2">
        <w:rPr>
          <w:rFonts w:ascii="Times New Roman" w:hAnsi="Times New Roman"/>
          <w:color w:val="000000"/>
        </w:rPr>
        <w:t>              </w:t>
      </w:r>
    </w:p>
    <w:p w:rsidR="00453C2D" w:rsidRPr="00964CF2" w:rsidRDefault="00453C2D" w:rsidP="00453C2D">
      <w:r w:rsidRPr="00964CF2">
        <w:rPr>
          <w:rFonts w:ascii="Times New Roman" w:hAnsi="Times New Roman"/>
          <w:color w:val="000000"/>
        </w:rPr>
        <w:t>                </w:t>
      </w:r>
      <w:r w:rsidRPr="00964CF2">
        <w:rPr>
          <w:rFonts w:ascii="Times New Roman" w:hAnsi="Times New Roman"/>
          <w:b/>
          <w:bCs/>
          <w:color w:val="000000"/>
        </w:rPr>
        <w:t>C.</w:t>
      </w:r>
      <w:r w:rsidRPr="00964CF2">
        <w:rPr>
          <w:rFonts w:ascii="Times New Roman" w:hAnsi="Times New Roman"/>
          <w:color w:val="000000"/>
        </w:rPr>
        <w:t>            Licensees shall keep the following records and make them available upon examination or investigation:</w:t>
      </w:r>
    </w:p>
    <w:p w:rsidR="00453C2D" w:rsidRPr="00964CF2" w:rsidRDefault="00453C2D" w:rsidP="00453C2D">
      <w:r w:rsidRPr="00964CF2">
        <w:rPr>
          <w:rFonts w:ascii="Times New Roman" w:hAnsi="Times New Roman"/>
          <w:color w:val="000000"/>
        </w:rPr>
        <w:t>                    </w:t>
      </w:r>
      <w:r w:rsidRPr="00964CF2">
        <w:rPr>
          <w:rFonts w:ascii="Times New Roman" w:hAnsi="Times New Roman"/>
          <w:b/>
          <w:bCs/>
          <w:color w:val="000000"/>
        </w:rPr>
        <w:t>(1)</w:t>
      </w:r>
      <w:r w:rsidRPr="00964CF2">
        <w:rPr>
          <w:rFonts w:ascii="Times New Roman" w:hAnsi="Times New Roman"/>
          <w:color w:val="000000"/>
        </w:rPr>
        <w:t>     documents related to the withdrawal, denial or settlement of a residential mortgage loan which includes, but are not limited to:</w:t>
      </w:r>
    </w:p>
    <w:p w:rsidR="00453C2D" w:rsidRPr="00964CF2" w:rsidRDefault="00453C2D" w:rsidP="00453C2D">
      <w:pPr>
        <w:pStyle w:val="ListParagraph"/>
        <w:numPr>
          <w:ilvl w:val="0"/>
          <w:numId w:val="23"/>
        </w:numPr>
        <w:contextualSpacing w:val="0"/>
      </w:pPr>
      <w:r w:rsidRPr="00964CF2">
        <w:rPr>
          <w:rFonts w:ascii="Times New Roman" w:hAnsi="Times New Roman"/>
          <w:color w:val="000000"/>
        </w:rPr>
        <w:t xml:space="preserve">mortgage loan transaction documents:  all loan applications, written or electronic, mortgage loan settlement statement,  loan transmittal summary, credit report, appraisal, all verifications (mortgage, rent, </w:t>
      </w:r>
    </w:p>
    <w:p w:rsidR="00453C2D" w:rsidRDefault="00453C2D" w:rsidP="00453C2D">
      <w:pPr>
        <w:ind w:left="1755"/>
        <w:rPr>
          <w:rFonts w:ascii="Times New Roman" w:hAnsi="Times New Roman"/>
          <w:color w:val="000000"/>
        </w:rPr>
      </w:pPr>
      <w:r w:rsidRPr="00964CF2">
        <w:rPr>
          <w:rFonts w:ascii="Times New Roman" w:hAnsi="Times New Roman"/>
          <w:color w:val="000000"/>
        </w:rPr>
        <w:t xml:space="preserve">deposits, employment, income), lender loan approval, </w:t>
      </w:r>
      <w:r w:rsidRPr="00964CF2">
        <w:rPr>
          <w:rFonts w:ascii="Times New Roman" w:hAnsi="Times New Roman"/>
          <w:color w:val="000000"/>
          <w:highlight w:val="yellow"/>
        </w:rPr>
        <w:t>clear to close</w:t>
      </w:r>
      <w:r w:rsidRPr="00964CF2">
        <w:rPr>
          <w:rFonts w:ascii="Times New Roman" w:hAnsi="Times New Roman"/>
          <w:color w:val="000000"/>
        </w:rPr>
        <w:t xml:space="preserve"> and interest rate lock-in confirmation, title commitment, survey and sales contract (if loan is a purchase);</w:t>
      </w:r>
    </w:p>
    <w:p w:rsidR="00453C2D" w:rsidRDefault="00453C2D" w:rsidP="00453C2D">
      <w:pPr>
        <w:ind w:left="1755"/>
        <w:rPr>
          <w:rFonts w:ascii="Times New Roman" w:hAnsi="Times New Roman"/>
          <w:color w:val="000000"/>
        </w:rPr>
      </w:pPr>
    </w:p>
    <w:p w:rsidR="00453C2D" w:rsidRDefault="00453C2D" w:rsidP="00453C2D">
      <w:pPr>
        <w:rPr>
          <w:rFonts w:ascii="Arial" w:hAnsi="Arial" w:cs="Arial"/>
          <w:sz w:val="24"/>
          <w:szCs w:val="24"/>
        </w:rPr>
      </w:pPr>
      <w:r w:rsidRPr="00453C2D">
        <w:rPr>
          <w:rFonts w:ascii="Arial" w:hAnsi="Arial" w:cs="Arial"/>
          <w:sz w:val="24"/>
          <w:szCs w:val="24"/>
        </w:rPr>
        <w:t xml:space="preserve">This examination further revealed that even though small banks and credit unions are exempt from this statute under the Mortgage Loan Company Act (MLC), once a company that is licensed under the MLC Act purchases/ acquires loans, they become subject to that Act. </w:t>
      </w:r>
      <w:r>
        <w:rPr>
          <w:rFonts w:ascii="Arial" w:hAnsi="Arial" w:cs="Arial"/>
          <w:sz w:val="24"/>
          <w:szCs w:val="24"/>
        </w:rPr>
        <w:t>Therefore, because Cornerstone is not a bank, we are subject to MLC requirements.</w:t>
      </w:r>
    </w:p>
    <w:p w:rsidR="00453C2D" w:rsidRDefault="00453C2D" w:rsidP="00453C2D">
      <w:pPr>
        <w:rPr>
          <w:rFonts w:ascii="Arial" w:hAnsi="Arial" w:cs="Arial"/>
          <w:sz w:val="24"/>
          <w:szCs w:val="24"/>
        </w:rPr>
      </w:pPr>
    </w:p>
    <w:p w:rsidR="00EF5409" w:rsidRDefault="00200E08" w:rsidP="00D35D7E">
      <w:pPr>
        <w:rPr>
          <w:rFonts w:ascii="Arial" w:hAnsi="Arial" w:cs="Arial"/>
          <w:sz w:val="24"/>
          <w:szCs w:val="24"/>
        </w:rPr>
      </w:pPr>
      <w:r>
        <w:rPr>
          <w:rFonts w:ascii="Arial" w:hAnsi="Arial" w:cs="Arial"/>
          <w:sz w:val="24"/>
          <w:szCs w:val="24"/>
        </w:rPr>
        <w:t>During the course o</w:t>
      </w:r>
      <w:bookmarkStart w:id="0" w:name="_GoBack"/>
      <w:bookmarkEnd w:id="0"/>
      <w:r w:rsidR="00453C2D">
        <w:rPr>
          <w:rFonts w:ascii="Arial" w:hAnsi="Arial" w:cs="Arial"/>
          <w:sz w:val="24"/>
          <w:szCs w:val="24"/>
        </w:rPr>
        <w:t xml:space="preserve">f implementing this regulation, we </w:t>
      </w:r>
      <w:r w:rsidR="008F235A">
        <w:rPr>
          <w:rFonts w:ascii="Arial" w:hAnsi="Arial" w:cs="Arial"/>
          <w:sz w:val="24"/>
          <w:szCs w:val="24"/>
        </w:rPr>
        <w:t xml:space="preserve">were able to verify that the clear to close language may be implemented on the 1008, FHA Underwriting Transmittal or VA Loan Analysis accordingly; </w:t>
      </w:r>
      <w:r w:rsidR="008F235A" w:rsidRPr="00E421FF">
        <w:rPr>
          <w:rFonts w:ascii="Arial" w:hAnsi="Arial" w:cs="Arial"/>
          <w:b/>
          <w:sz w:val="24"/>
          <w:szCs w:val="24"/>
        </w:rPr>
        <w:t>as long as the following three elements are provided.</w:t>
      </w:r>
    </w:p>
    <w:p w:rsidR="008F235A" w:rsidRDefault="008F235A" w:rsidP="00D35D7E">
      <w:pPr>
        <w:rPr>
          <w:rFonts w:ascii="Arial" w:hAnsi="Arial" w:cs="Arial"/>
          <w:sz w:val="24"/>
          <w:szCs w:val="24"/>
        </w:rPr>
      </w:pPr>
    </w:p>
    <w:p w:rsidR="008F235A" w:rsidRDefault="008F235A" w:rsidP="008F235A">
      <w:pPr>
        <w:pStyle w:val="ListParagraph"/>
        <w:numPr>
          <w:ilvl w:val="0"/>
          <w:numId w:val="24"/>
        </w:numPr>
        <w:rPr>
          <w:rFonts w:ascii="Arial" w:hAnsi="Arial" w:cs="Arial"/>
          <w:sz w:val="24"/>
          <w:szCs w:val="24"/>
        </w:rPr>
      </w:pPr>
      <w:r>
        <w:rPr>
          <w:rFonts w:ascii="Arial" w:hAnsi="Arial" w:cs="Arial"/>
          <w:sz w:val="24"/>
          <w:szCs w:val="24"/>
        </w:rPr>
        <w:t>The underwriter’s name</w:t>
      </w:r>
    </w:p>
    <w:p w:rsidR="008F235A" w:rsidRDefault="008F235A" w:rsidP="008F235A">
      <w:pPr>
        <w:pStyle w:val="ListParagraph"/>
        <w:numPr>
          <w:ilvl w:val="0"/>
          <w:numId w:val="24"/>
        </w:numPr>
        <w:rPr>
          <w:rFonts w:ascii="Arial" w:hAnsi="Arial" w:cs="Arial"/>
          <w:sz w:val="24"/>
          <w:szCs w:val="24"/>
        </w:rPr>
      </w:pPr>
      <w:r>
        <w:rPr>
          <w:rFonts w:ascii="Arial" w:hAnsi="Arial" w:cs="Arial"/>
          <w:sz w:val="24"/>
          <w:szCs w:val="24"/>
        </w:rPr>
        <w:t>The date that the underwriter cleared the loan to close</w:t>
      </w:r>
    </w:p>
    <w:p w:rsidR="008F235A" w:rsidRDefault="008F235A" w:rsidP="008F235A">
      <w:pPr>
        <w:pStyle w:val="ListParagraph"/>
        <w:numPr>
          <w:ilvl w:val="0"/>
          <w:numId w:val="24"/>
        </w:numPr>
        <w:rPr>
          <w:rFonts w:ascii="Arial" w:hAnsi="Arial" w:cs="Arial"/>
          <w:sz w:val="24"/>
          <w:szCs w:val="24"/>
        </w:rPr>
      </w:pPr>
      <w:r>
        <w:rPr>
          <w:rFonts w:ascii="Arial" w:hAnsi="Arial" w:cs="Arial"/>
          <w:sz w:val="24"/>
          <w:szCs w:val="24"/>
        </w:rPr>
        <w:t>The statement “cleared to close” is used</w:t>
      </w:r>
    </w:p>
    <w:p w:rsidR="008F235A" w:rsidRDefault="008F235A" w:rsidP="008F235A">
      <w:pPr>
        <w:rPr>
          <w:rFonts w:ascii="Arial" w:hAnsi="Arial" w:cs="Arial"/>
          <w:sz w:val="24"/>
          <w:szCs w:val="24"/>
        </w:rPr>
      </w:pPr>
    </w:p>
    <w:p w:rsidR="008F235A" w:rsidRPr="008F235A" w:rsidRDefault="008F235A" w:rsidP="008F235A">
      <w:pPr>
        <w:rPr>
          <w:rFonts w:ascii="Arial" w:hAnsi="Arial" w:cs="Arial"/>
          <w:sz w:val="24"/>
          <w:szCs w:val="24"/>
        </w:rPr>
      </w:pPr>
      <w:r>
        <w:rPr>
          <w:rFonts w:ascii="Arial" w:hAnsi="Arial" w:cs="Arial"/>
          <w:sz w:val="24"/>
          <w:szCs w:val="24"/>
        </w:rPr>
        <w:t xml:space="preserve">For example: </w:t>
      </w:r>
      <w:r w:rsidRPr="008F235A">
        <w:rPr>
          <w:rFonts w:ascii="Arial" w:hAnsi="Arial" w:cs="Arial"/>
          <w:b/>
          <w:sz w:val="24"/>
          <w:szCs w:val="24"/>
        </w:rPr>
        <w:t>Cleared to Close on 1/26/16 by Paula Christopher</w:t>
      </w:r>
    </w:p>
    <w:p w:rsidR="009D21F8" w:rsidRDefault="009D21F8" w:rsidP="00D35D7E">
      <w:pPr>
        <w:rPr>
          <w:rFonts w:ascii="Arial" w:hAnsi="Arial" w:cs="Arial"/>
          <w:sz w:val="24"/>
          <w:szCs w:val="24"/>
        </w:rPr>
      </w:pPr>
    </w:p>
    <w:p w:rsidR="008F235A" w:rsidRDefault="008F235A" w:rsidP="00D35D7E">
      <w:pPr>
        <w:rPr>
          <w:rFonts w:ascii="Arial" w:hAnsi="Arial" w:cs="Arial"/>
          <w:sz w:val="24"/>
          <w:szCs w:val="24"/>
        </w:rPr>
      </w:pPr>
      <w:r>
        <w:rPr>
          <w:rFonts w:ascii="Arial" w:hAnsi="Arial" w:cs="Arial"/>
          <w:sz w:val="24"/>
          <w:szCs w:val="24"/>
        </w:rPr>
        <w:t xml:space="preserve">As an alternative, you may also use the </w:t>
      </w:r>
      <w:hyperlink r:id="rId8" w:history="1">
        <w:r w:rsidRPr="008F235A">
          <w:rPr>
            <w:rStyle w:val="Hyperlink"/>
            <w:rFonts w:ascii="Arial" w:hAnsi="Arial" w:cs="Arial"/>
            <w:sz w:val="24"/>
            <w:szCs w:val="24"/>
          </w:rPr>
          <w:t>Clear to Close</w:t>
        </w:r>
      </w:hyperlink>
      <w:r>
        <w:rPr>
          <w:rFonts w:ascii="Arial" w:hAnsi="Arial" w:cs="Arial"/>
          <w:sz w:val="24"/>
          <w:szCs w:val="24"/>
        </w:rPr>
        <w:t xml:space="preserve"> form located in the Submission Forms section of the Checklists, Forms and Tools page of the correspondent web site: </w:t>
      </w:r>
      <w:hyperlink r:id="rId9" w:history="1">
        <w:r w:rsidRPr="005B419D">
          <w:rPr>
            <w:rStyle w:val="Hyperlink"/>
            <w:rFonts w:ascii="Arial" w:hAnsi="Arial" w:cs="Arial"/>
            <w:sz w:val="24"/>
            <w:szCs w:val="24"/>
          </w:rPr>
          <w:t>www.chlcorrespondent.com</w:t>
        </w:r>
      </w:hyperlink>
      <w:r>
        <w:rPr>
          <w:rFonts w:ascii="Arial" w:hAnsi="Arial" w:cs="Arial"/>
          <w:sz w:val="24"/>
          <w:szCs w:val="24"/>
        </w:rPr>
        <w:t>.</w:t>
      </w:r>
    </w:p>
    <w:p w:rsidR="008F235A" w:rsidRDefault="008F235A" w:rsidP="00D35D7E">
      <w:pPr>
        <w:rPr>
          <w:rFonts w:ascii="Arial" w:hAnsi="Arial" w:cs="Arial"/>
          <w:sz w:val="24"/>
          <w:szCs w:val="24"/>
        </w:rPr>
      </w:pPr>
    </w:p>
    <w:p w:rsidR="00E421FF" w:rsidRDefault="00E421FF" w:rsidP="00D35D7E">
      <w:pPr>
        <w:rPr>
          <w:rFonts w:ascii="Arial" w:hAnsi="Arial" w:cs="Arial"/>
          <w:sz w:val="24"/>
          <w:szCs w:val="24"/>
        </w:rPr>
      </w:pPr>
      <w:r>
        <w:rPr>
          <w:rFonts w:ascii="Arial" w:hAnsi="Arial" w:cs="Arial"/>
          <w:sz w:val="24"/>
          <w:szCs w:val="24"/>
        </w:rPr>
        <w:t>Please let me know if you have questions.</w:t>
      </w:r>
    </w:p>
    <w:p w:rsidR="009D21F8" w:rsidRDefault="009D21F8" w:rsidP="00D35D7E">
      <w:pPr>
        <w:rPr>
          <w:rFonts w:ascii="Arial" w:hAnsi="Arial" w:cs="Arial"/>
          <w:sz w:val="24"/>
          <w:szCs w:val="24"/>
        </w:rPr>
      </w:pPr>
    </w:p>
    <w:p w:rsidR="00E421FF" w:rsidRDefault="00E952B4" w:rsidP="004627A5">
      <w:pPr>
        <w:rPr>
          <w:rFonts w:ascii="Arial" w:hAnsi="Arial" w:cs="Arial"/>
          <w:b/>
          <w:sz w:val="24"/>
          <w:szCs w:val="24"/>
        </w:rPr>
      </w:pPr>
      <w:r w:rsidRPr="001D4943">
        <w:rPr>
          <w:rFonts w:ascii="Arial" w:hAnsi="Arial" w:cs="Arial"/>
          <w:b/>
          <w:sz w:val="24"/>
          <w:szCs w:val="24"/>
        </w:rPr>
        <w:t xml:space="preserve">As always, your business is greatly appreciated. If you have questions regarding these issues, please contact me at </w:t>
      </w:r>
      <w:hyperlink r:id="rId10" w:history="1">
        <w:r w:rsidR="004627A5" w:rsidRPr="001D4943">
          <w:rPr>
            <w:rStyle w:val="Hyperlink"/>
            <w:rFonts w:ascii="Arial" w:hAnsi="Arial" w:cs="Arial"/>
            <w:b/>
            <w:sz w:val="24"/>
            <w:szCs w:val="24"/>
          </w:rPr>
          <w:t>abreidenbach@houseloan.com</w:t>
        </w:r>
      </w:hyperlink>
      <w:r w:rsidRPr="001D4943">
        <w:rPr>
          <w:rFonts w:ascii="Arial" w:hAnsi="Arial" w:cs="Arial"/>
          <w:b/>
          <w:sz w:val="24"/>
          <w:szCs w:val="24"/>
        </w:rPr>
        <w:t>.</w:t>
      </w:r>
    </w:p>
    <w:p w:rsidR="00E421FF" w:rsidRDefault="00E421FF" w:rsidP="004627A5">
      <w:pPr>
        <w:rPr>
          <w:rFonts w:ascii="Californian FB" w:hAnsi="Californian FB"/>
          <w:b/>
          <w:bCs/>
          <w:i/>
          <w:iCs/>
          <w:color w:val="244061"/>
        </w:rPr>
      </w:pPr>
    </w:p>
    <w:p w:rsidR="00E421FF" w:rsidRDefault="00E421FF" w:rsidP="004627A5">
      <w:pPr>
        <w:rPr>
          <w:rFonts w:ascii="Californian FB" w:hAnsi="Californian FB"/>
          <w:b/>
          <w:bCs/>
          <w:i/>
          <w:iCs/>
          <w:color w:val="244061"/>
        </w:rPr>
      </w:pPr>
    </w:p>
    <w:p w:rsidR="004627A5" w:rsidRPr="00E421FF" w:rsidRDefault="004627A5">
      <w:pPr>
        <w:rPr>
          <w:color w:val="1F497D"/>
        </w:rPr>
      </w:pPr>
      <w:r>
        <w:rPr>
          <w:rFonts w:ascii="Californian FB" w:hAnsi="Californian FB"/>
          <w:b/>
          <w:bCs/>
          <w:i/>
          <w:iCs/>
          <w:color w:val="244061"/>
        </w:rPr>
        <w:t>The content of this communication is confidential and is not intended for consumer use or for distribution to any third party without prior written consent from Cornerstone Home Lending, Inc.</w:t>
      </w:r>
    </w:p>
    <w:sectPr w:rsidR="004627A5" w:rsidRPr="00E421FF" w:rsidSect="00E421FF">
      <w:pgSz w:w="12240" w:h="20160" w:code="5"/>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B4" w:rsidRDefault="00E952B4" w:rsidP="00E952B4">
      <w:r>
        <w:separator/>
      </w:r>
    </w:p>
  </w:endnote>
  <w:endnote w:type="continuationSeparator" w:id="0">
    <w:p w:rsidR="00E952B4" w:rsidRDefault="00E952B4" w:rsidP="00E9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B4" w:rsidRDefault="00E952B4" w:rsidP="00E952B4">
      <w:r>
        <w:separator/>
      </w:r>
    </w:p>
  </w:footnote>
  <w:footnote w:type="continuationSeparator" w:id="0">
    <w:p w:rsidR="00E952B4" w:rsidRDefault="00E952B4" w:rsidP="00E9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7C"/>
    <w:multiLevelType w:val="hybridMultilevel"/>
    <w:tmpl w:val="B7F0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4091"/>
    <w:multiLevelType w:val="hybridMultilevel"/>
    <w:tmpl w:val="92183A28"/>
    <w:lvl w:ilvl="0" w:tplc="3394FD4A">
      <w:start w:val="1"/>
      <w:numFmt w:val="lowerLetter"/>
      <w:lvlText w:val="(%1)"/>
      <w:lvlJc w:val="left"/>
      <w:pPr>
        <w:ind w:left="1755" w:hanging="450"/>
      </w:pPr>
      <w:rPr>
        <w:b/>
      </w:rPr>
    </w:lvl>
    <w:lvl w:ilvl="1" w:tplc="04090019">
      <w:start w:val="1"/>
      <w:numFmt w:val="lowerLetter"/>
      <w:lvlText w:val="%2."/>
      <w:lvlJc w:val="left"/>
      <w:pPr>
        <w:ind w:left="2385" w:hanging="360"/>
      </w:pPr>
    </w:lvl>
    <w:lvl w:ilvl="2" w:tplc="0409001B">
      <w:start w:val="1"/>
      <w:numFmt w:val="lowerRoman"/>
      <w:lvlText w:val="%3."/>
      <w:lvlJc w:val="right"/>
      <w:pPr>
        <w:ind w:left="3105" w:hanging="180"/>
      </w:pPr>
    </w:lvl>
    <w:lvl w:ilvl="3" w:tplc="0409000F">
      <w:start w:val="1"/>
      <w:numFmt w:val="decimal"/>
      <w:lvlText w:val="%4."/>
      <w:lvlJc w:val="left"/>
      <w:pPr>
        <w:ind w:left="3825" w:hanging="360"/>
      </w:pPr>
    </w:lvl>
    <w:lvl w:ilvl="4" w:tplc="04090019">
      <w:start w:val="1"/>
      <w:numFmt w:val="lowerLetter"/>
      <w:lvlText w:val="%5."/>
      <w:lvlJc w:val="left"/>
      <w:pPr>
        <w:ind w:left="4545" w:hanging="360"/>
      </w:pPr>
    </w:lvl>
    <w:lvl w:ilvl="5" w:tplc="0409001B">
      <w:start w:val="1"/>
      <w:numFmt w:val="lowerRoman"/>
      <w:lvlText w:val="%6."/>
      <w:lvlJc w:val="right"/>
      <w:pPr>
        <w:ind w:left="5265" w:hanging="180"/>
      </w:pPr>
    </w:lvl>
    <w:lvl w:ilvl="6" w:tplc="0409000F">
      <w:start w:val="1"/>
      <w:numFmt w:val="decimal"/>
      <w:lvlText w:val="%7."/>
      <w:lvlJc w:val="left"/>
      <w:pPr>
        <w:ind w:left="5985" w:hanging="360"/>
      </w:pPr>
    </w:lvl>
    <w:lvl w:ilvl="7" w:tplc="04090019">
      <w:start w:val="1"/>
      <w:numFmt w:val="lowerLetter"/>
      <w:lvlText w:val="%8."/>
      <w:lvlJc w:val="left"/>
      <w:pPr>
        <w:ind w:left="6705" w:hanging="360"/>
      </w:pPr>
    </w:lvl>
    <w:lvl w:ilvl="8" w:tplc="0409001B">
      <w:start w:val="1"/>
      <w:numFmt w:val="lowerRoman"/>
      <w:lvlText w:val="%9."/>
      <w:lvlJc w:val="right"/>
      <w:pPr>
        <w:ind w:left="7425" w:hanging="180"/>
      </w:pPr>
    </w:lvl>
  </w:abstractNum>
  <w:abstractNum w:abstractNumId="2" w15:restartNumberingAfterBreak="0">
    <w:nsid w:val="09B643A5"/>
    <w:multiLevelType w:val="hybridMultilevel"/>
    <w:tmpl w:val="193E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10137"/>
    <w:multiLevelType w:val="hybridMultilevel"/>
    <w:tmpl w:val="B91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73A9"/>
    <w:multiLevelType w:val="hybridMultilevel"/>
    <w:tmpl w:val="C31A49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E71B0"/>
    <w:multiLevelType w:val="hybridMultilevel"/>
    <w:tmpl w:val="997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11047"/>
    <w:multiLevelType w:val="hybridMultilevel"/>
    <w:tmpl w:val="0B9CD838"/>
    <w:lvl w:ilvl="0" w:tplc="AED47B0C">
      <w:start w:val="8"/>
      <w:numFmt w:val="bullet"/>
      <w:lvlText w:val=""/>
      <w:lvlJc w:val="left"/>
      <w:pPr>
        <w:ind w:left="720" w:hanging="360"/>
      </w:pPr>
      <w:rPr>
        <w:rFonts w:ascii="SymbolMT" w:eastAsiaTheme="minorHAnsi" w:hAnsi="Symbol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46264"/>
    <w:multiLevelType w:val="hybridMultilevel"/>
    <w:tmpl w:val="AADC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06636"/>
    <w:multiLevelType w:val="hybridMultilevel"/>
    <w:tmpl w:val="D784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04A52"/>
    <w:multiLevelType w:val="hybridMultilevel"/>
    <w:tmpl w:val="DD968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D6EB6"/>
    <w:multiLevelType w:val="hybridMultilevel"/>
    <w:tmpl w:val="FDB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A1680"/>
    <w:multiLevelType w:val="hybridMultilevel"/>
    <w:tmpl w:val="9E34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716CA"/>
    <w:multiLevelType w:val="hybridMultilevel"/>
    <w:tmpl w:val="9492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33348"/>
    <w:multiLevelType w:val="hybridMultilevel"/>
    <w:tmpl w:val="6FDCC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B7B24"/>
    <w:multiLevelType w:val="hybridMultilevel"/>
    <w:tmpl w:val="E93C2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1C39C2"/>
    <w:multiLevelType w:val="hybridMultilevel"/>
    <w:tmpl w:val="08A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C22F8"/>
    <w:multiLevelType w:val="hybridMultilevel"/>
    <w:tmpl w:val="DA6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E5A28"/>
    <w:multiLevelType w:val="hybridMultilevel"/>
    <w:tmpl w:val="2358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C3AE4"/>
    <w:multiLevelType w:val="hybridMultilevel"/>
    <w:tmpl w:val="0464E3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5206F5"/>
    <w:multiLevelType w:val="hybridMultilevel"/>
    <w:tmpl w:val="31B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B5345"/>
    <w:multiLevelType w:val="hybridMultilevel"/>
    <w:tmpl w:val="0B5C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C7F0D"/>
    <w:multiLevelType w:val="hybridMultilevel"/>
    <w:tmpl w:val="B65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974F0"/>
    <w:multiLevelType w:val="hybridMultilevel"/>
    <w:tmpl w:val="9738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DA6E8D"/>
    <w:multiLevelType w:val="hybridMultilevel"/>
    <w:tmpl w:val="CCE2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7"/>
  </w:num>
  <w:num w:numId="4">
    <w:abstractNumId w:val="22"/>
  </w:num>
  <w:num w:numId="5">
    <w:abstractNumId w:val="21"/>
  </w:num>
  <w:num w:numId="6">
    <w:abstractNumId w:val="6"/>
  </w:num>
  <w:num w:numId="7">
    <w:abstractNumId w:val="10"/>
  </w:num>
  <w:num w:numId="8">
    <w:abstractNumId w:val="5"/>
  </w:num>
  <w:num w:numId="9">
    <w:abstractNumId w:val="11"/>
  </w:num>
  <w:num w:numId="10">
    <w:abstractNumId w:val="12"/>
  </w:num>
  <w:num w:numId="11">
    <w:abstractNumId w:val="9"/>
  </w:num>
  <w:num w:numId="12">
    <w:abstractNumId w:val="14"/>
  </w:num>
  <w:num w:numId="13">
    <w:abstractNumId w:val="18"/>
  </w:num>
  <w:num w:numId="14">
    <w:abstractNumId w:val="23"/>
  </w:num>
  <w:num w:numId="15">
    <w:abstractNumId w:val="15"/>
  </w:num>
  <w:num w:numId="16">
    <w:abstractNumId w:val="13"/>
  </w:num>
  <w:num w:numId="17">
    <w:abstractNumId w:val="4"/>
  </w:num>
  <w:num w:numId="18">
    <w:abstractNumId w:val="19"/>
  </w:num>
  <w:num w:numId="19">
    <w:abstractNumId w:val="16"/>
  </w:num>
  <w:num w:numId="20">
    <w:abstractNumId w:val="2"/>
  </w:num>
  <w:num w:numId="21">
    <w:abstractNumId w:val="3"/>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5"/>
    <w:rsid w:val="000144FF"/>
    <w:rsid w:val="000D0322"/>
    <w:rsid w:val="000F04FC"/>
    <w:rsid w:val="001A04D8"/>
    <w:rsid w:val="001D4943"/>
    <w:rsid w:val="00200099"/>
    <w:rsid w:val="00200E08"/>
    <w:rsid w:val="002A0499"/>
    <w:rsid w:val="002C2285"/>
    <w:rsid w:val="002E56BF"/>
    <w:rsid w:val="002E64F7"/>
    <w:rsid w:val="00384053"/>
    <w:rsid w:val="003927F5"/>
    <w:rsid w:val="00394A90"/>
    <w:rsid w:val="003B294A"/>
    <w:rsid w:val="003E6C7E"/>
    <w:rsid w:val="003F3173"/>
    <w:rsid w:val="00453C2D"/>
    <w:rsid w:val="004627A5"/>
    <w:rsid w:val="004E5075"/>
    <w:rsid w:val="004E5EB8"/>
    <w:rsid w:val="00572550"/>
    <w:rsid w:val="005E39A7"/>
    <w:rsid w:val="00645F24"/>
    <w:rsid w:val="00657BB4"/>
    <w:rsid w:val="006664A8"/>
    <w:rsid w:val="006C35CD"/>
    <w:rsid w:val="00753C7A"/>
    <w:rsid w:val="0075758B"/>
    <w:rsid w:val="00773C3A"/>
    <w:rsid w:val="00773CDA"/>
    <w:rsid w:val="00777937"/>
    <w:rsid w:val="007C1BF1"/>
    <w:rsid w:val="007D7B9C"/>
    <w:rsid w:val="00841005"/>
    <w:rsid w:val="008E104C"/>
    <w:rsid w:val="008E66DD"/>
    <w:rsid w:val="008F235A"/>
    <w:rsid w:val="009841CB"/>
    <w:rsid w:val="009D21F8"/>
    <w:rsid w:val="00A00EAD"/>
    <w:rsid w:val="00A053F1"/>
    <w:rsid w:val="00A35AB7"/>
    <w:rsid w:val="00AA1412"/>
    <w:rsid w:val="00AB0D05"/>
    <w:rsid w:val="00B06747"/>
    <w:rsid w:val="00B14CFA"/>
    <w:rsid w:val="00B9661F"/>
    <w:rsid w:val="00C25062"/>
    <w:rsid w:val="00C432F1"/>
    <w:rsid w:val="00C66A15"/>
    <w:rsid w:val="00CF39AE"/>
    <w:rsid w:val="00D35D7E"/>
    <w:rsid w:val="00D50330"/>
    <w:rsid w:val="00D86BB0"/>
    <w:rsid w:val="00DC7F82"/>
    <w:rsid w:val="00DD000C"/>
    <w:rsid w:val="00DD3009"/>
    <w:rsid w:val="00E3416B"/>
    <w:rsid w:val="00E421FF"/>
    <w:rsid w:val="00E64DF3"/>
    <w:rsid w:val="00E952B4"/>
    <w:rsid w:val="00E960DA"/>
    <w:rsid w:val="00EB4FE9"/>
    <w:rsid w:val="00EF5409"/>
    <w:rsid w:val="00EF662F"/>
    <w:rsid w:val="00F1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DB288-53AE-44E4-928C-3668893B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75"/>
    <w:pPr>
      <w:ind w:left="720"/>
      <w:contextualSpacing/>
    </w:pPr>
  </w:style>
  <w:style w:type="paragraph" w:styleId="Header">
    <w:name w:val="header"/>
    <w:basedOn w:val="Normal"/>
    <w:link w:val="HeaderChar"/>
    <w:uiPriority w:val="99"/>
    <w:unhideWhenUsed/>
    <w:rsid w:val="00E952B4"/>
    <w:pPr>
      <w:tabs>
        <w:tab w:val="center" w:pos="4680"/>
        <w:tab w:val="right" w:pos="9360"/>
      </w:tabs>
    </w:pPr>
  </w:style>
  <w:style w:type="character" w:customStyle="1" w:styleId="HeaderChar">
    <w:name w:val="Header Char"/>
    <w:basedOn w:val="DefaultParagraphFont"/>
    <w:link w:val="Header"/>
    <w:uiPriority w:val="99"/>
    <w:rsid w:val="00E952B4"/>
    <w:rPr>
      <w:rFonts w:ascii="Calibri" w:hAnsi="Calibri" w:cs="Times New Roman"/>
    </w:rPr>
  </w:style>
  <w:style w:type="paragraph" w:styleId="Footer">
    <w:name w:val="footer"/>
    <w:basedOn w:val="Normal"/>
    <w:link w:val="FooterChar"/>
    <w:uiPriority w:val="99"/>
    <w:unhideWhenUsed/>
    <w:rsid w:val="00E952B4"/>
    <w:pPr>
      <w:tabs>
        <w:tab w:val="center" w:pos="4680"/>
        <w:tab w:val="right" w:pos="9360"/>
      </w:tabs>
    </w:pPr>
  </w:style>
  <w:style w:type="character" w:customStyle="1" w:styleId="FooterChar">
    <w:name w:val="Footer Char"/>
    <w:basedOn w:val="DefaultParagraphFont"/>
    <w:link w:val="Footer"/>
    <w:uiPriority w:val="99"/>
    <w:rsid w:val="00E952B4"/>
    <w:rPr>
      <w:rFonts w:ascii="Calibri" w:hAnsi="Calibri" w:cs="Times New Roman"/>
    </w:rPr>
  </w:style>
  <w:style w:type="paragraph" w:styleId="BalloonText">
    <w:name w:val="Balloon Text"/>
    <w:basedOn w:val="Normal"/>
    <w:link w:val="BalloonTextChar"/>
    <w:uiPriority w:val="99"/>
    <w:semiHidden/>
    <w:unhideWhenUsed/>
    <w:rsid w:val="00E952B4"/>
    <w:rPr>
      <w:rFonts w:ascii="Tahoma" w:hAnsi="Tahoma" w:cs="Tahoma"/>
      <w:sz w:val="16"/>
      <w:szCs w:val="16"/>
    </w:rPr>
  </w:style>
  <w:style w:type="character" w:customStyle="1" w:styleId="BalloonTextChar">
    <w:name w:val="Balloon Text Char"/>
    <w:basedOn w:val="DefaultParagraphFont"/>
    <w:link w:val="BalloonText"/>
    <w:uiPriority w:val="99"/>
    <w:semiHidden/>
    <w:rsid w:val="00E952B4"/>
    <w:rPr>
      <w:rFonts w:ascii="Tahoma" w:hAnsi="Tahoma" w:cs="Tahoma"/>
      <w:sz w:val="16"/>
      <w:szCs w:val="16"/>
    </w:rPr>
  </w:style>
  <w:style w:type="character" w:styleId="Hyperlink">
    <w:name w:val="Hyperlink"/>
    <w:basedOn w:val="DefaultParagraphFont"/>
    <w:uiPriority w:val="99"/>
    <w:unhideWhenUsed/>
    <w:rsid w:val="00657BB4"/>
    <w:rPr>
      <w:color w:val="0000FF" w:themeColor="hyperlink"/>
      <w:u w:val="single"/>
    </w:rPr>
  </w:style>
  <w:style w:type="table" w:styleId="TableGrid">
    <w:name w:val="Table Grid"/>
    <w:basedOn w:val="TableNormal"/>
    <w:uiPriority w:val="59"/>
    <w:rsid w:val="00657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1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0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2760">
      <w:bodyDiv w:val="1"/>
      <w:marLeft w:val="0"/>
      <w:marRight w:val="0"/>
      <w:marTop w:val="0"/>
      <w:marBottom w:val="0"/>
      <w:divBdr>
        <w:top w:val="none" w:sz="0" w:space="0" w:color="auto"/>
        <w:left w:val="none" w:sz="0" w:space="0" w:color="auto"/>
        <w:bottom w:val="none" w:sz="0" w:space="0" w:color="auto"/>
        <w:right w:val="none" w:sz="0" w:space="0" w:color="auto"/>
      </w:divBdr>
    </w:div>
    <w:div w:id="510527464">
      <w:bodyDiv w:val="1"/>
      <w:marLeft w:val="0"/>
      <w:marRight w:val="0"/>
      <w:marTop w:val="0"/>
      <w:marBottom w:val="0"/>
      <w:divBdr>
        <w:top w:val="none" w:sz="0" w:space="0" w:color="auto"/>
        <w:left w:val="none" w:sz="0" w:space="0" w:color="auto"/>
        <w:bottom w:val="none" w:sz="0" w:space="0" w:color="auto"/>
        <w:right w:val="none" w:sz="0" w:space="0" w:color="auto"/>
      </w:divBdr>
    </w:div>
    <w:div w:id="655691982">
      <w:bodyDiv w:val="1"/>
      <w:marLeft w:val="0"/>
      <w:marRight w:val="0"/>
      <w:marTop w:val="0"/>
      <w:marBottom w:val="0"/>
      <w:divBdr>
        <w:top w:val="none" w:sz="0" w:space="0" w:color="auto"/>
        <w:left w:val="none" w:sz="0" w:space="0" w:color="auto"/>
        <w:bottom w:val="none" w:sz="0" w:space="0" w:color="auto"/>
        <w:right w:val="none" w:sz="0" w:space="0" w:color="auto"/>
      </w:divBdr>
    </w:div>
    <w:div w:id="668288027">
      <w:bodyDiv w:val="1"/>
      <w:marLeft w:val="0"/>
      <w:marRight w:val="0"/>
      <w:marTop w:val="0"/>
      <w:marBottom w:val="0"/>
      <w:divBdr>
        <w:top w:val="none" w:sz="0" w:space="0" w:color="auto"/>
        <w:left w:val="none" w:sz="0" w:space="0" w:color="auto"/>
        <w:bottom w:val="none" w:sz="0" w:space="0" w:color="auto"/>
        <w:right w:val="none" w:sz="0" w:space="0" w:color="auto"/>
      </w:divBdr>
    </w:div>
    <w:div w:id="1299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lcorrespondent.com/Forms/New%20Mexico%20Clear%20to%20Close%20-%20Approval%20Date.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reidenbach@houseloan.com" TargetMode="External"/><Relationship Id="rId4" Type="http://schemas.openxmlformats.org/officeDocument/2006/relationships/webSettings" Target="webSettings.xml"/><Relationship Id="rId9" Type="http://schemas.openxmlformats.org/officeDocument/2006/relationships/hyperlink" Target="http://www.chlcorrespond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Breidenbach, Angela</dc:creator>
  <cp:lastModifiedBy>Breidenbach, Angela</cp:lastModifiedBy>
  <cp:revision>4</cp:revision>
  <dcterms:created xsi:type="dcterms:W3CDTF">2016-01-25T23:21:00Z</dcterms:created>
  <dcterms:modified xsi:type="dcterms:W3CDTF">2016-02-02T21:02:00Z</dcterms:modified>
</cp:coreProperties>
</file>