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B4" w:rsidRDefault="00E952B4" w:rsidP="004E5075">
      <w:pPr>
        <w:autoSpaceDE w:val="0"/>
        <w:autoSpaceDN w:val="0"/>
      </w:pPr>
    </w:p>
    <w:p w:rsidR="00E952B4" w:rsidRDefault="00E952B4" w:rsidP="00E952B4">
      <w:r w:rsidRPr="00585B48">
        <w:rPr>
          <w:noProof/>
        </w:rPr>
        <w:drawing>
          <wp:inline distT="0" distB="0" distL="0" distR="0" wp14:anchorId="631C0A8C" wp14:editId="45CD8D40">
            <wp:extent cx="3361944" cy="856488"/>
            <wp:effectExtent l="19050" t="0" r="0" b="0"/>
            <wp:docPr id="3" name="Picture 1" descr="CornerstoneHomeLendingCLD_logo_300dpi_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HomeLendingCLD_logo_300dpi_WHT.jpg"/>
                    <pic:cNvPicPr/>
                  </pic:nvPicPr>
                  <pic:blipFill>
                    <a:blip r:embed="rId7" cstate="print"/>
                    <a:stretch>
                      <a:fillRect/>
                    </a:stretch>
                  </pic:blipFill>
                  <pic:spPr>
                    <a:xfrm>
                      <a:off x="0" y="0"/>
                      <a:ext cx="3361944" cy="856488"/>
                    </a:xfrm>
                    <a:prstGeom prst="rect">
                      <a:avLst/>
                    </a:prstGeom>
                  </pic:spPr>
                </pic:pic>
              </a:graphicData>
            </a:graphic>
          </wp:inline>
        </w:drawing>
      </w:r>
    </w:p>
    <w:p w:rsidR="00E952B4" w:rsidRPr="00A844F8" w:rsidRDefault="00E952B4" w:rsidP="00E952B4">
      <w:pPr>
        <w:rPr>
          <w:rFonts w:ascii="Arial Rounded MT Bold" w:hAnsi="Arial Rounded MT Bold"/>
          <w:b/>
          <w:sz w:val="20"/>
          <w:szCs w:val="20"/>
        </w:rPr>
      </w:pPr>
    </w:p>
    <w:p w:rsidR="00E952B4" w:rsidRPr="00E64DF3" w:rsidRDefault="00E952B4" w:rsidP="00E952B4">
      <w:pPr>
        <w:rPr>
          <w:rFonts w:ascii="Arial" w:hAnsi="Arial" w:cs="Arial"/>
          <w:b/>
          <w:sz w:val="24"/>
          <w:szCs w:val="24"/>
        </w:rPr>
      </w:pPr>
      <w:r w:rsidRPr="00E64DF3">
        <w:rPr>
          <w:rFonts w:ascii="Arial" w:hAnsi="Arial" w:cs="Arial"/>
          <w:b/>
          <w:sz w:val="24"/>
          <w:szCs w:val="24"/>
        </w:rPr>
        <w:t>TO:</w:t>
      </w:r>
      <w:r w:rsidRPr="00E64DF3">
        <w:rPr>
          <w:rFonts w:ascii="Arial" w:hAnsi="Arial" w:cs="Arial"/>
          <w:b/>
          <w:sz w:val="24"/>
          <w:szCs w:val="24"/>
        </w:rPr>
        <w:tab/>
      </w:r>
      <w:r w:rsidRPr="00E64DF3">
        <w:rPr>
          <w:rFonts w:ascii="Arial" w:hAnsi="Arial" w:cs="Arial"/>
          <w:b/>
          <w:sz w:val="24"/>
          <w:szCs w:val="24"/>
        </w:rPr>
        <w:tab/>
        <w:t>Correspondent Lenders</w:t>
      </w:r>
    </w:p>
    <w:p w:rsidR="00E952B4" w:rsidRPr="00E64DF3" w:rsidRDefault="00E952B4" w:rsidP="00E952B4">
      <w:pPr>
        <w:rPr>
          <w:rFonts w:ascii="Arial" w:hAnsi="Arial" w:cs="Arial"/>
          <w:b/>
          <w:sz w:val="24"/>
          <w:szCs w:val="24"/>
        </w:rPr>
      </w:pPr>
    </w:p>
    <w:p w:rsidR="00E952B4" w:rsidRPr="00E64DF3" w:rsidRDefault="00E952B4" w:rsidP="00E952B4">
      <w:pPr>
        <w:outlineLvl w:val="0"/>
        <w:rPr>
          <w:rFonts w:ascii="Arial" w:hAnsi="Arial" w:cs="Arial"/>
          <w:b/>
          <w:sz w:val="24"/>
          <w:szCs w:val="24"/>
        </w:rPr>
      </w:pPr>
      <w:r w:rsidRPr="00E64DF3">
        <w:rPr>
          <w:rFonts w:ascii="Arial" w:hAnsi="Arial" w:cs="Arial"/>
          <w:b/>
          <w:sz w:val="24"/>
          <w:szCs w:val="24"/>
        </w:rPr>
        <w:t>FROM:</w:t>
      </w:r>
      <w:r w:rsidRPr="00E64DF3">
        <w:rPr>
          <w:rFonts w:ascii="Arial" w:hAnsi="Arial" w:cs="Arial"/>
          <w:b/>
          <w:sz w:val="24"/>
          <w:szCs w:val="24"/>
        </w:rPr>
        <w:tab/>
        <w:t>Angela Breidenbach, Operations Manager</w:t>
      </w:r>
    </w:p>
    <w:p w:rsidR="00E952B4" w:rsidRPr="00E64DF3" w:rsidRDefault="00E952B4" w:rsidP="00E952B4">
      <w:pPr>
        <w:rPr>
          <w:rFonts w:ascii="Arial" w:hAnsi="Arial" w:cs="Arial"/>
          <w:b/>
          <w:sz w:val="24"/>
          <w:szCs w:val="24"/>
        </w:rPr>
      </w:pPr>
    </w:p>
    <w:p w:rsidR="00E952B4" w:rsidRPr="00E64DF3" w:rsidRDefault="00E952B4" w:rsidP="00E952B4">
      <w:pPr>
        <w:rPr>
          <w:rFonts w:ascii="Arial" w:hAnsi="Arial" w:cs="Arial"/>
          <w:b/>
          <w:sz w:val="24"/>
          <w:szCs w:val="24"/>
        </w:rPr>
      </w:pPr>
      <w:r w:rsidRPr="00E64DF3">
        <w:rPr>
          <w:rFonts w:ascii="Arial" w:hAnsi="Arial" w:cs="Arial"/>
          <w:b/>
          <w:sz w:val="24"/>
          <w:szCs w:val="24"/>
        </w:rPr>
        <w:t>DATE</w:t>
      </w:r>
      <w:r w:rsidRPr="00E64DF3">
        <w:rPr>
          <w:rFonts w:ascii="Arial" w:hAnsi="Arial" w:cs="Arial"/>
          <w:b/>
          <w:sz w:val="24"/>
          <w:szCs w:val="24"/>
        </w:rPr>
        <w:tab/>
      </w:r>
      <w:r w:rsidRPr="00E64DF3">
        <w:rPr>
          <w:rFonts w:ascii="Arial" w:hAnsi="Arial" w:cs="Arial"/>
          <w:b/>
          <w:sz w:val="24"/>
          <w:szCs w:val="24"/>
        </w:rPr>
        <w:tab/>
      </w:r>
      <w:r w:rsidR="00FE0161">
        <w:rPr>
          <w:rFonts w:ascii="Arial" w:hAnsi="Arial" w:cs="Arial"/>
          <w:b/>
          <w:sz w:val="24"/>
          <w:szCs w:val="24"/>
        </w:rPr>
        <w:t>December 30, 2015</w:t>
      </w:r>
    </w:p>
    <w:p w:rsidR="00E952B4" w:rsidRPr="00E64DF3" w:rsidRDefault="00E952B4" w:rsidP="00E952B4">
      <w:pPr>
        <w:rPr>
          <w:rFonts w:ascii="Arial" w:hAnsi="Arial" w:cs="Arial"/>
          <w:b/>
          <w:sz w:val="24"/>
          <w:szCs w:val="24"/>
        </w:rPr>
      </w:pPr>
    </w:p>
    <w:p w:rsidR="00E64DF3" w:rsidRDefault="00E952B4" w:rsidP="00657BB4">
      <w:pPr>
        <w:rPr>
          <w:rFonts w:ascii="Arial" w:hAnsi="Arial" w:cs="Arial"/>
          <w:b/>
          <w:sz w:val="24"/>
          <w:szCs w:val="24"/>
        </w:rPr>
      </w:pPr>
      <w:r w:rsidRPr="00E64DF3">
        <w:rPr>
          <w:rFonts w:ascii="Arial" w:hAnsi="Arial" w:cs="Arial"/>
          <w:b/>
          <w:sz w:val="24"/>
          <w:szCs w:val="24"/>
        </w:rPr>
        <w:t>RE:</w:t>
      </w:r>
      <w:r w:rsidRPr="00E64DF3">
        <w:rPr>
          <w:rFonts w:ascii="Arial" w:hAnsi="Arial" w:cs="Arial"/>
          <w:b/>
          <w:sz w:val="24"/>
          <w:szCs w:val="24"/>
        </w:rPr>
        <w:tab/>
      </w:r>
      <w:r w:rsidRPr="00E64DF3">
        <w:rPr>
          <w:rFonts w:ascii="Arial" w:hAnsi="Arial" w:cs="Arial"/>
          <w:b/>
          <w:sz w:val="24"/>
          <w:szCs w:val="24"/>
        </w:rPr>
        <w:tab/>
      </w:r>
      <w:r w:rsidR="00FE0161">
        <w:rPr>
          <w:rFonts w:ascii="Arial" w:hAnsi="Arial" w:cs="Arial"/>
          <w:b/>
          <w:sz w:val="24"/>
          <w:szCs w:val="24"/>
        </w:rPr>
        <w:t>Early TRID Issues</w:t>
      </w:r>
    </w:p>
    <w:p w:rsidR="002A0499" w:rsidRDefault="002A0499" w:rsidP="00657BB4">
      <w:pPr>
        <w:rPr>
          <w:rFonts w:ascii="Arial" w:hAnsi="Arial" w:cs="Arial"/>
          <w:b/>
          <w:sz w:val="24"/>
          <w:szCs w:val="24"/>
        </w:rPr>
      </w:pPr>
    </w:p>
    <w:p w:rsidR="002A0499" w:rsidRDefault="00FE0161" w:rsidP="002A0499">
      <w:pPr>
        <w:autoSpaceDE w:val="0"/>
        <w:autoSpaceDN w:val="0"/>
        <w:rPr>
          <w:rFonts w:ascii="Arial" w:hAnsi="Arial" w:cs="Arial"/>
          <w:color w:val="000000"/>
          <w:sz w:val="24"/>
          <w:szCs w:val="24"/>
        </w:rPr>
      </w:pPr>
      <w:r>
        <w:rPr>
          <w:rFonts w:ascii="Arial" w:hAnsi="Arial" w:cs="Arial"/>
          <w:color w:val="000000"/>
          <w:sz w:val="24"/>
          <w:szCs w:val="24"/>
        </w:rPr>
        <w:t>In an effort to continue to provide guidance to our correspondent lenders, the following information is a summary of issues that have been identified during purchase reviews on loans delivered to Cornerstone. Please check your loans thoroughly prior to delivery to ensure a seamless purchase process:</w:t>
      </w:r>
    </w:p>
    <w:p w:rsidR="00FE0161" w:rsidRDefault="00FE0161" w:rsidP="002A0499">
      <w:pPr>
        <w:autoSpaceDE w:val="0"/>
        <w:autoSpaceDN w:val="0"/>
        <w:rPr>
          <w:rFonts w:ascii="Arial" w:hAnsi="Arial" w:cs="Arial"/>
          <w:color w:val="000000"/>
          <w:sz w:val="24"/>
          <w:szCs w:val="24"/>
        </w:rPr>
      </w:pPr>
    </w:p>
    <w:p w:rsidR="00FE0161" w:rsidRPr="007D7D9D" w:rsidRDefault="007D7D9D" w:rsidP="002A0499">
      <w:pPr>
        <w:autoSpaceDE w:val="0"/>
        <w:autoSpaceDN w:val="0"/>
        <w:rPr>
          <w:rFonts w:ascii="Arial" w:hAnsi="Arial" w:cs="Arial"/>
          <w:b/>
          <w:color w:val="000000"/>
          <w:sz w:val="24"/>
          <w:szCs w:val="24"/>
        </w:rPr>
      </w:pPr>
      <w:r w:rsidRPr="007D7D9D">
        <w:rPr>
          <w:rFonts w:ascii="Arial" w:hAnsi="Arial" w:cs="Arial"/>
          <w:b/>
          <w:color w:val="000000"/>
          <w:sz w:val="24"/>
          <w:szCs w:val="24"/>
        </w:rPr>
        <w:t>GENERAL ISSUES</w:t>
      </w:r>
    </w:p>
    <w:p w:rsidR="00FE0161" w:rsidRDefault="00FE0161" w:rsidP="002A0499">
      <w:pPr>
        <w:autoSpaceDE w:val="0"/>
        <w:autoSpaceDN w:val="0"/>
        <w:rPr>
          <w:rFonts w:ascii="Arial" w:hAnsi="Arial" w:cs="Arial"/>
          <w:color w:val="000000"/>
          <w:sz w:val="24"/>
          <w:szCs w:val="24"/>
        </w:rPr>
      </w:pPr>
    </w:p>
    <w:p w:rsidR="00FE0161" w:rsidRPr="00B73DFB" w:rsidRDefault="00FE0161"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 xml:space="preserve">The earliest that consummation can occur (generally the date the mortgage is signed) is three business days </w:t>
      </w:r>
      <w:r w:rsidRPr="00B73DFB">
        <w:rPr>
          <w:rFonts w:ascii="Arial" w:hAnsi="Arial" w:cs="Arial"/>
          <w:b/>
          <w:color w:val="000000"/>
          <w:sz w:val="24"/>
          <w:szCs w:val="24"/>
        </w:rPr>
        <w:t>after</w:t>
      </w:r>
      <w:r w:rsidRPr="00B73DFB">
        <w:rPr>
          <w:rFonts w:ascii="Arial" w:hAnsi="Arial" w:cs="Arial"/>
          <w:color w:val="000000"/>
          <w:sz w:val="24"/>
          <w:szCs w:val="24"/>
        </w:rPr>
        <w:t xml:space="preserve"> the borrower has received the initial CD or a subsequent CD that requires a new waiting period.</w:t>
      </w:r>
    </w:p>
    <w:p w:rsidR="00FE0161" w:rsidRDefault="00FE0161" w:rsidP="00B73DFB">
      <w:pPr>
        <w:autoSpaceDE w:val="0"/>
        <w:autoSpaceDN w:val="0"/>
        <w:rPr>
          <w:rFonts w:ascii="Arial" w:hAnsi="Arial" w:cs="Arial"/>
          <w:color w:val="000000"/>
          <w:sz w:val="24"/>
          <w:szCs w:val="24"/>
        </w:rPr>
      </w:pPr>
    </w:p>
    <w:p w:rsidR="00FE0161" w:rsidRPr="00B73DFB" w:rsidRDefault="00FE0161"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If multiple CD’s are issued on the same day, please provide documentation to show in what order they were issued.</w:t>
      </w:r>
    </w:p>
    <w:p w:rsidR="00FE0161" w:rsidRDefault="00FE0161" w:rsidP="00B73DFB">
      <w:pPr>
        <w:autoSpaceDE w:val="0"/>
        <w:autoSpaceDN w:val="0"/>
        <w:rPr>
          <w:rFonts w:ascii="Arial" w:hAnsi="Arial" w:cs="Arial"/>
          <w:color w:val="000000"/>
          <w:sz w:val="24"/>
          <w:szCs w:val="24"/>
        </w:rPr>
      </w:pPr>
    </w:p>
    <w:p w:rsidR="00FE0161" w:rsidRPr="00B73DFB" w:rsidRDefault="00FE0161"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If an LE or CD was printed, but not delivered to a borrower, please don’t include it in the file to be delivered to Cornerstone.</w:t>
      </w:r>
    </w:p>
    <w:p w:rsidR="00FE0161" w:rsidRDefault="00FE0161" w:rsidP="00B73DFB">
      <w:pPr>
        <w:autoSpaceDE w:val="0"/>
        <w:autoSpaceDN w:val="0"/>
        <w:rPr>
          <w:rFonts w:ascii="Arial" w:hAnsi="Arial" w:cs="Arial"/>
          <w:color w:val="000000"/>
          <w:sz w:val="24"/>
          <w:szCs w:val="24"/>
        </w:rPr>
      </w:pPr>
    </w:p>
    <w:p w:rsidR="00FE0161" w:rsidRPr="00B73DFB" w:rsidRDefault="00FE0161"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All CD’s issued to the borrower must have supporting documentation to evidence delivery and receipt of disclosures (unless mail box rule is employed).</w:t>
      </w:r>
    </w:p>
    <w:p w:rsidR="00FE0161" w:rsidRDefault="00FE0161" w:rsidP="00B73DFB">
      <w:pPr>
        <w:autoSpaceDE w:val="0"/>
        <w:autoSpaceDN w:val="0"/>
        <w:rPr>
          <w:rFonts w:ascii="Arial" w:hAnsi="Arial" w:cs="Arial"/>
          <w:color w:val="000000"/>
          <w:sz w:val="24"/>
          <w:szCs w:val="24"/>
        </w:rPr>
      </w:pPr>
    </w:p>
    <w:p w:rsidR="00FE0161" w:rsidRPr="00B73DFB" w:rsidRDefault="00FE0161"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If the disclosures are sent out electronically, Cornerstone requires evidence of borrower’s e-sign consent to ensure compliance with the regulation.</w:t>
      </w:r>
    </w:p>
    <w:p w:rsidR="00FE0161" w:rsidRDefault="00FE0161" w:rsidP="00B73DFB">
      <w:pPr>
        <w:autoSpaceDE w:val="0"/>
        <w:autoSpaceDN w:val="0"/>
        <w:rPr>
          <w:rFonts w:ascii="Arial" w:hAnsi="Arial" w:cs="Arial"/>
          <w:color w:val="000000"/>
          <w:sz w:val="24"/>
          <w:szCs w:val="24"/>
        </w:rPr>
      </w:pPr>
    </w:p>
    <w:p w:rsidR="00FE0161" w:rsidRPr="00B73DFB" w:rsidRDefault="00FE0161"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If the borrower was allowed to shop for services, please be sure you have included the Service Providers List.</w:t>
      </w:r>
    </w:p>
    <w:p w:rsidR="007D7D9D" w:rsidRDefault="007D7D9D" w:rsidP="00B73DFB">
      <w:pPr>
        <w:autoSpaceDE w:val="0"/>
        <w:autoSpaceDN w:val="0"/>
        <w:rPr>
          <w:rFonts w:ascii="Arial" w:hAnsi="Arial" w:cs="Arial"/>
          <w:color w:val="000000"/>
          <w:sz w:val="24"/>
          <w:szCs w:val="24"/>
        </w:rPr>
      </w:pPr>
    </w:p>
    <w:p w:rsidR="007D7D9D" w:rsidRPr="00B73DFB" w:rsidRDefault="007D7D9D" w:rsidP="00B73DFB">
      <w:pPr>
        <w:pStyle w:val="ListParagraph"/>
        <w:numPr>
          <w:ilvl w:val="0"/>
          <w:numId w:val="14"/>
        </w:numPr>
        <w:autoSpaceDE w:val="0"/>
        <w:autoSpaceDN w:val="0"/>
        <w:ind w:left="360"/>
        <w:rPr>
          <w:rFonts w:ascii="Arial" w:hAnsi="Arial" w:cs="Arial"/>
          <w:color w:val="000000"/>
          <w:sz w:val="24"/>
          <w:szCs w:val="24"/>
        </w:rPr>
      </w:pPr>
      <w:r w:rsidRPr="00B73DFB">
        <w:rPr>
          <w:rFonts w:ascii="Arial" w:hAnsi="Arial" w:cs="Arial"/>
          <w:color w:val="000000"/>
          <w:sz w:val="24"/>
          <w:szCs w:val="24"/>
        </w:rPr>
        <w:t>On refinances and other transactions not involving a seller, the lender has the option to use an alternative form LE and CD. The regulation is clear that if you use the alternative form LE, you must also use the alternative form CD. However, the regulation is not clear on the requirement when the LE is completed on the standard form. At the present time, Cornerstone is taking the position that there should be consistent use of the LE and CD forms. If the LE was completed on the standard LE form, then the CD should also be completed on the standard CD form. WE are seeing loans where a standard form LE is used with an alternative form CD. The calculating cash to close table do not properly align when this occurs.</w:t>
      </w:r>
    </w:p>
    <w:p w:rsidR="00FE0161" w:rsidRDefault="00FE0161" w:rsidP="00B73DFB">
      <w:pPr>
        <w:autoSpaceDE w:val="0"/>
        <w:autoSpaceDN w:val="0"/>
        <w:rPr>
          <w:rFonts w:ascii="Arial" w:hAnsi="Arial" w:cs="Arial"/>
          <w:color w:val="000000"/>
          <w:sz w:val="24"/>
          <w:szCs w:val="24"/>
        </w:rPr>
      </w:pPr>
    </w:p>
    <w:p w:rsidR="00B73DFB" w:rsidRDefault="00B73DFB" w:rsidP="002A0499">
      <w:pPr>
        <w:autoSpaceDE w:val="0"/>
        <w:autoSpaceDN w:val="0"/>
        <w:rPr>
          <w:rFonts w:ascii="Arial" w:hAnsi="Arial" w:cs="Arial"/>
          <w:color w:val="000000"/>
          <w:sz w:val="24"/>
          <w:szCs w:val="24"/>
        </w:rPr>
      </w:pPr>
    </w:p>
    <w:p w:rsidR="00B73DFB" w:rsidRDefault="00B73DFB" w:rsidP="002A0499">
      <w:pPr>
        <w:autoSpaceDE w:val="0"/>
        <w:autoSpaceDN w:val="0"/>
        <w:rPr>
          <w:rFonts w:ascii="Arial" w:hAnsi="Arial" w:cs="Arial"/>
          <w:color w:val="000000"/>
          <w:sz w:val="24"/>
          <w:szCs w:val="24"/>
        </w:rPr>
      </w:pPr>
    </w:p>
    <w:p w:rsidR="00B73DFB" w:rsidRDefault="00B73DFB" w:rsidP="002A0499">
      <w:pPr>
        <w:autoSpaceDE w:val="0"/>
        <w:autoSpaceDN w:val="0"/>
        <w:rPr>
          <w:rFonts w:ascii="Arial" w:hAnsi="Arial" w:cs="Arial"/>
          <w:color w:val="000000"/>
          <w:sz w:val="24"/>
          <w:szCs w:val="24"/>
        </w:rPr>
      </w:pPr>
    </w:p>
    <w:p w:rsidR="00B73DFB" w:rsidRDefault="00B73DFB" w:rsidP="002A0499">
      <w:pPr>
        <w:autoSpaceDE w:val="0"/>
        <w:autoSpaceDN w:val="0"/>
        <w:rPr>
          <w:rFonts w:ascii="Arial" w:hAnsi="Arial" w:cs="Arial"/>
          <w:color w:val="000000"/>
          <w:sz w:val="24"/>
          <w:szCs w:val="24"/>
        </w:rPr>
      </w:pPr>
    </w:p>
    <w:p w:rsidR="00FE0161" w:rsidRPr="007D7D9D" w:rsidRDefault="007D7D9D" w:rsidP="002A0499">
      <w:pPr>
        <w:autoSpaceDE w:val="0"/>
        <w:autoSpaceDN w:val="0"/>
        <w:rPr>
          <w:rFonts w:ascii="Arial" w:hAnsi="Arial" w:cs="Arial"/>
          <w:b/>
          <w:color w:val="000000"/>
          <w:sz w:val="24"/>
          <w:szCs w:val="24"/>
        </w:rPr>
      </w:pPr>
      <w:r w:rsidRPr="007D7D9D">
        <w:rPr>
          <w:rFonts w:ascii="Arial" w:hAnsi="Arial" w:cs="Arial"/>
          <w:b/>
          <w:color w:val="000000"/>
          <w:sz w:val="24"/>
          <w:szCs w:val="24"/>
        </w:rPr>
        <w:lastRenderedPageBreak/>
        <w:t>LOAN ESTIMATES (LE)</w:t>
      </w:r>
    </w:p>
    <w:p w:rsidR="00FE0161" w:rsidRDefault="00FE0161" w:rsidP="002A0499">
      <w:pPr>
        <w:autoSpaceDE w:val="0"/>
        <w:autoSpaceDN w:val="0"/>
        <w:rPr>
          <w:rFonts w:ascii="Arial" w:hAnsi="Arial" w:cs="Arial"/>
          <w:color w:val="000000"/>
          <w:sz w:val="24"/>
          <w:szCs w:val="24"/>
        </w:rPr>
      </w:pPr>
    </w:p>
    <w:p w:rsidR="00B73DFB" w:rsidRPr="00B73DFB" w:rsidRDefault="00FE0161" w:rsidP="0068740E">
      <w:pPr>
        <w:pStyle w:val="ListParagraph"/>
        <w:numPr>
          <w:ilvl w:val="0"/>
          <w:numId w:val="15"/>
        </w:numPr>
        <w:autoSpaceDE w:val="0"/>
        <w:autoSpaceDN w:val="0"/>
        <w:rPr>
          <w:rFonts w:ascii="Arial" w:hAnsi="Arial" w:cs="Arial"/>
          <w:color w:val="000000"/>
          <w:sz w:val="24"/>
          <w:szCs w:val="24"/>
        </w:rPr>
      </w:pPr>
      <w:r w:rsidRPr="00B73DFB">
        <w:rPr>
          <w:rFonts w:ascii="Arial" w:hAnsi="Arial" w:cs="Arial"/>
          <w:color w:val="000000"/>
          <w:sz w:val="24"/>
          <w:szCs w:val="24"/>
        </w:rPr>
        <w:t>The rate lock information must include a time stamp.</w:t>
      </w:r>
    </w:p>
    <w:p w:rsidR="00B73DFB" w:rsidRDefault="00B73DFB" w:rsidP="00052DA0">
      <w:pPr>
        <w:autoSpaceDE w:val="0"/>
        <w:autoSpaceDN w:val="0"/>
        <w:ind w:left="360"/>
        <w:rPr>
          <w:rFonts w:ascii="Arial" w:hAnsi="Arial" w:cs="Arial"/>
          <w:color w:val="000000"/>
          <w:sz w:val="24"/>
          <w:szCs w:val="24"/>
        </w:rPr>
      </w:pPr>
      <w:r>
        <w:rPr>
          <w:noProof/>
        </w:rPr>
        <w:drawing>
          <wp:inline distT="0" distB="0" distL="0" distR="0" wp14:anchorId="794E55FF" wp14:editId="0913748D">
            <wp:extent cx="61722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1381125"/>
                    </a:xfrm>
                    <a:prstGeom prst="rect">
                      <a:avLst/>
                    </a:prstGeom>
                  </pic:spPr>
                </pic:pic>
              </a:graphicData>
            </a:graphic>
          </wp:inline>
        </w:drawing>
      </w:r>
    </w:p>
    <w:p w:rsidR="00EB790A" w:rsidRDefault="00EB790A" w:rsidP="002A0499">
      <w:pPr>
        <w:autoSpaceDE w:val="0"/>
        <w:autoSpaceDN w:val="0"/>
        <w:rPr>
          <w:rFonts w:ascii="Arial" w:hAnsi="Arial" w:cs="Arial"/>
          <w:color w:val="000000"/>
          <w:sz w:val="24"/>
          <w:szCs w:val="24"/>
        </w:rPr>
      </w:pPr>
    </w:p>
    <w:p w:rsidR="00EB790A" w:rsidRPr="00B73DFB" w:rsidRDefault="00EB790A" w:rsidP="00305D6C">
      <w:pPr>
        <w:pStyle w:val="ListParagraph"/>
        <w:numPr>
          <w:ilvl w:val="0"/>
          <w:numId w:val="15"/>
        </w:numPr>
        <w:autoSpaceDE w:val="0"/>
        <w:autoSpaceDN w:val="0"/>
        <w:rPr>
          <w:rFonts w:ascii="Arial" w:hAnsi="Arial" w:cs="Arial"/>
          <w:color w:val="000000"/>
          <w:sz w:val="24"/>
          <w:szCs w:val="24"/>
        </w:rPr>
      </w:pPr>
      <w:r w:rsidRPr="00B73DFB">
        <w:rPr>
          <w:rFonts w:ascii="Arial" w:hAnsi="Arial" w:cs="Arial"/>
          <w:color w:val="000000"/>
          <w:sz w:val="24"/>
          <w:szCs w:val="24"/>
        </w:rPr>
        <w:t>On page 3 Additional Information</w:t>
      </w:r>
      <w:r w:rsidR="00325107" w:rsidRPr="00B73DFB">
        <w:rPr>
          <w:rFonts w:ascii="Arial" w:hAnsi="Arial" w:cs="Arial"/>
          <w:color w:val="000000"/>
          <w:sz w:val="24"/>
          <w:szCs w:val="24"/>
        </w:rPr>
        <w:t xml:space="preserve"> About T</w:t>
      </w:r>
      <w:r w:rsidRPr="00B73DFB">
        <w:rPr>
          <w:rFonts w:ascii="Arial" w:hAnsi="Arial" w:cs="Arial"/>
          <w:color w:val="000000"/>
          <w:sz w:val="24"/>
          <w:szCs w:val="24"/>
        </w:rPr>
        <w:t>his Loan, make sure all of the required information is provided.</w:t>
      </w:r>
    </w:p>
    <w:p w:rsidR="00FE0161" w:rsidRDefault="00052DA0" w:rsidP="00052DA0">
      <w:pPr>
        <w:autoSpaceDE w:val="0"/>
        <w:autoSpaceDN w:val="0"/>
        <w:ind w:left="360"/>
        <w:rPr>
          <w:rFonts w:ascii="Arial" w:hAnsi="Arial" w:cs="Arial"/>
          <w:color w:val="000000"/>
          <w:sz w:val="24"/>
          <w:szCs w:val="24"/>
        </w:rPr>
      </w:pPr>
      <w:r>
        <w:rPr>
          <w:noProof/>
        </w:rPr>
        <w:drawing>
          <wp:inline distT="0" distB="0" distL="0" distR="0" wp14:anchorId="4137E664" wp14:editId="4153B405">
            <wp:extent cx="6372225" cy="1762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2225" cy="1762125"/>
                    </a:xfrm>
                    <a:prstGeom prst="rect">
                      <a:avLst/>
                    </a:prstGeom>
                  </pic:spPr>
                </pic:pic>
              </a:graphicData>
            </a:graphic>
          </wp:inline>
        </w:drawing>
      </w:r>
    </w:p>
    <w:p w:rsidR="00052DA0" w:rsidRDefault="00052DA0" w:rsidP="00052DA0">
      <w:pPr>
        <w:pStyle w:val="ListParagraph"/>
        <w:autoSpaceDE w:val="0"/>
        <w:autoSpaceDN w:val="0"/>
        <w:ind w:left="360"/>
        <w:rPr>
          <w:rFonts w:ascii="Arial" w:hAnsi="Arial" w:cs="Arial"/>
          <w:color w:val="000000"/>
          <w:sz w:val="24"/>
          <w:szCs w:val="24"/>
        </w:rPr>
      </w:pPr>
    </w:p>
    <w:p w:rsidR="00325107" w:rsidRPr="00305D6C" w:rsidRDefault="00325107" w:rsidP="00305D6C">
      <w:pPr>
        <w:pStyle w:val="ListParagraph"/>
        <w:numPr>
          <w:ilvl w:val="0"/>
          <w:numId w:val="15"/>
        </w:numPr>
        <w:autoSpaceDE w:val="0"/>
        <w:autoSpaceDN w:val="0"/>
        <w:rPr>
          <w:rFonts w:ascii="Arial" w:hAnsi="Arial" w:cs="Arial"/>
          <w:color w:val="000000"/>
          <w:sz w:val="24"/>
          <w:szCs w:val="24"/>
        </w:rPr>
      </w:pPr>
      <w:r w:rsidRPr="00305D6C">
        <w:rPr>
          <w:rFonts w:ascii="Arial" w:hAnsi="Arial" w:cs="Arial"/>
          <w:color w:val="000000"/>
          <w:sz w:val="24"/>
          <w:szCs w:val="24"/>
        </w:rPr>
        <w:t>Provide Change of Circumstance for all re-disclosed LE’s.</w:t>
      </w:r>
    </w:p>
    <w:p w:rsidR="00EB790A" w:rsidRDefault="00EB790A" w:rsidP="002A0499">
      <w:pPr>
        <w:autoSpaceDE w:val="0"/>
        <w:autoSpaceDN w:val="0"/>
        <w:rPr>
          <w:rFonts w:ascii="Arial" w:hAnsi="Arial" w:cs="Arial"/>
          <w:color w:val="000000"/>
          <w:sz w:val="24"/>
          <w:szCs w:val="24"/>
        </w:rPr>
      </w:pPr>
    </w:p>
    <w:p w:rsidR="00325107" w:rsidRDefault="00325107" w:rsidP="002A0499">
      <w:pPr>
        <w:autoSpaceDE w:val="0"/>
        <w:autoSpaceDN w:val="0"/>
        <w:rPr>
          <w:rFonts w:ascii="Arial" w:hAnsi="Arial" w:cs="Arial"/>
          <w:color w:val="000000"/>
          <w:sz w:val="24"/>
          <w:szCs w:val="24"/>
        </w:rPr>
      </w:pPr>
    </w:p>
    <w:p w:rsidR="00325107" w:rsidRPr="007D7D9D" w:rsidRDefault="007D7D9D" w:rsidP="002A0499">
      <w:pPr>
        <w:autoSpaceDE w:val="0"/>
        <w:autoSpaceDN w:val="0"/>
        <w:rPr>
          <w:rFonts w:ascii="Arial" w:hAnsi="Arial" w:cs="Arial"/>
          <w:b/>
          <w:color w:val="000000"/>
          <w:sz w:val="24"/>
          <w:szCs w:val="24"/>
        </w:rPr>
      </w:pPr>
      <w:r w:rsidRPr="007D7D9D">
        <w:rPr>
          <w:rFonts w:ascii="Arial" w:hAnsi="Arial" w:cs="Arial"/>
          <w:b/>
          <w:color w:val="000000"/>
          <w:sz w:val="24"/>
          <w:szCs w:val="24"/>
        </w:rPr>
        <w:t>CLOSING DISCLOSURES (CD)</w:t>
      </w:r>
    </w:p>
    <w:p w:rsidR="00325107" w:rsidRDefault="00325107" w:rsidP="002A0499">
      <w:pPr>
        <w:autoSpaceDE w:val="0"/>
        <w:autoSpaceDN w:val="0"/>
        <w:rPr>
          <w:rFonts w:ascii="Arial" w:hAnsi="Arial" w:cs="Arial"/>
          <w:color w:val="000000"/>
          <w:sz w:val="24"/>
          <w:szCs w:val="24"/>
        </w:rPr>
      </w:pPr>
    </w:p>
    <w:p w:rsidR="00325107" w:rsidRDefault="00325107" w:rsidP="00305D6C">
      <w:pPr>
        <w:pStyle w:val="ListParagraph"/>
        <w:numPr>
          <w:ilvl w:val="0"/>
          <w:numId w:val="16"/>
        </w:numPr>
        <w:autoSpaceDE w:val="0"/>
        <w:autoSpaceDN w:val="0"/>
        <w:ind w:left="360"/>
        <w:rPr>
          <w:rFonts w:ascii="Arial" w:hAnsi="Arial" w:cs="Arial"/>
          <w:color w:val="000000"/>
          <w:sz w:val="24"/>
          <w:szCs w:val="24"/>
        </w:rPr>
      </w:pPr>
      <w:r w:rsidRPr="00305D6C">
        <w:rPr>
          <w:rFonts w:ascii="Arial" w:hAnsi="Arial" w:cs="Arial"/>
          <w:color w:val="000000"/>
          <w:sz w:val="24"/>
          <w:szCs w:val="24"/>
        </w:rPr>
        <w:t>All relevant fields in the Closing Information section (page 1) must be completed. This applies to all CD’s: initial, re-disclosed and final</w:t>
      </w:r>
    </w:p>
    <w:p w:rsidR="00052DA0" w:rsidRPr="00305D6C" w:rsidRDefault="00052DA0" w:rsidP="00052DA0">
      <w:pPr>
        <w:pStyle w:val="ListParagraph"/>
        <w:autoSpaceDE w:val="0"/>
        <w:autoSpaceDN w:val="0"/>
        <w:ind w:left="360"/>
        <w:rPr>
          <w:rFonts w:ascii="Arial" w:hAnsi="Arial" w:cs="Arial"/>
          <w:color w:val="000000"/>
          <w:sz w:val="24"/>
          <w:szCs w:val="24"/>
        </w:rPr>
      </w:pPr>
      <w:r>
        <w:rPr>
          <w:noProof/>
        </w:rPr>
        <w:drawing>
          <wp:inline distT="0" distB="0" distL="0" distR="0" wp14:anchorId="0EBE0E02" wp14:editId="13F76D7A">
            <wp:extent cx="6858000" cy="20516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051685"/>
                    </a:xfrm>
                    <a:prstGeom prst="rect">
                      <a:avLst/>
                    </a:prstGeom>
                  </pic:spPr>
                </pic:pic>
              </a:graphicData>
            </a:graphic>
          </wp:inline>
        </w:drawing>
      </w:r>
    </w:p>
    <w:p w:rsidR="00325107" w:rsidRDefault="00325107"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6F16D5" w:rsidRDefault="006F16D5" w:rsidP="00305D6C">
      <w:pPr>
        <w:autoSpaceDE w:val="0"/>
        <w:autoSpaceDN w:val="0"/>
        <w:rPr>
          <w:rFonts w:ascii="Arial" w:hAnsi="Arial" w:cs="Arial"/>
          <w:color w:val="000000"/>
          <w:sz w:val="24"/>
          <w:szCs w:val="24"/>
        </w:rPr>
      </w:pPr>
    </w:p>
    <w:p w:rsidR="007D7D9D" w:rsidRDefault="007D7D9D" w:rsidP="00305D6C">
      <w:pPr>
        <w:pStyle w:val="ListParagraph"/>
        <w:numPr>
          <w:ilvl w:val="0"/>
          <w:numId w:val="16"/>
        </w:numPr>
        <w:autoSpaceDE w:val="0"/>
        <w:autoSpaceDN w:val="0"/>
        <w:ind w:left="360"/>
        <w:rPr>
          <w:rFonts w:ascii="Arial" w:hAnsi="Arial" w:cs="Arial"/>
          <w:color w:val="000000"/>
          <w:sz w:val="24"/>
          <w:szCs w:val="24"/>
        </w:rPr>
      </w:pPr>
      <w:r w:rsidRPr="00305D6C">
        <w:rPr>
          <w:rFonts w:ascii="Arial" w:hAnsi="Arial" w:cs="Arial"/>
          <w:color w:val="000000"/>
          <w:sz w:val="24"/>
          <w:szCs w:val="24"/>
        </w:rPr>
        <w:lastRenderedPageBreak/>
        <w:t>CD page 3 Calculating Cash to Close estimate should match the final LE.</w:t>
      </w:r>
    </w:p>
    <w:p w:rsidR="00052DA0" w:rsidRPr="00305D6C" w:rsidRDefault="00052DA0" w:rsidP="00052DA0">
      <w:pPr>
        <w:pStyle w:val="ListParagraph"/>
        <w:autoSpaceDE w:val="0"/>
        <w:autoSpaceDN w:val="0"/>
        <w:ind w:left="360"/>
        <w:rPr>
          <w:rFonts w:ascii="Arial" w:hAnsi="Arial" w:cs="Arial"/>
          <w:color w:val="000000"/>
          <w:sz w:val="24"/>
          <w:szCs w:val="24"/>
        </w:rPr>
      </w:pPr>
    </w:p>
    <w:p w:rsidR="007D7D9D" w:rsidRDefault="00052DA0" w:rsidP="00305D6C">
      <w:pPr>
        <w:autoSpaceDE w:val="0"/>
        <w:autoSpaceDN w:val="0"/>
        <w:rPr>
          <w:rFonts w:ascii="Arial" w:hAnsi="Arial" w:cs="Arial"/>
          <w:color w:val="000000"/>
          <w:sz w:val="24"/>
          <w:szCs w:val="24"/>
        </w:rPr>
      </w:pPr>
      <w:r>
        <w:rPr>
          <w:noProof/>
        </w:rPr>
        <w:drawing>
          <wp:inline distT="0" distB="0" distL="0" distR="0" wp14:anchorId="2878DF37" wp14:editId="75D87255">
            <wp:extent cx="636270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2700" cy="2400300"/>
                    </a:xfrm>
                    <a:prstGeom prst="rect">
                      <a:avLst/>
                    </a:prstGeom>
                  </pic:spPr>
                </pic:pic>
              </a:graphicData>
            </a:graphic>
          </wp:inline>
        </w:drawing>
      </w:r>
    </w:p>
    <w:p w:rsidR="00325107" w:rsidRPr="00305D6C" w:rsidRDefault="00325107" w:rsidP="00305D6C">
      <w:pPr>
        <w:pStyle w:val="ListParagraph"/>
        <w:numPr>
          <w:ilvl w:val="0"/>
          <w:numId w:val="16"/>
        </w:numPr>
        <w:autoSpaceDE w:val="0"/>
        <w:autoSpaceDN w:val="0"/>
        <w:ind w:left="360"/>
        <w:rPr>
          <w:rFonts w:ascii="Arial" w:hAnsi="Arial" w:cs="Arial"/>
          <w:color w:val="000000"/>
          <w:sz w:val="24"/>
          <w:szCs w:val="24"/>
        </w:rPr>
      </w:pPr>
      <w:r w:rsidRPr="00305D6C">
        <w:rPr>
          <w:rFonts w:ascii="Arial" w:hAnsi="Arial" w:cs="Arial"/>
          <w:color w:val="000000"/>
          <w:sz w:val="24"/>
          <w:szCs w:val="24"/>
        </w:rPr>
        <w:t>Ensure that all applicable check boxes are marked on Page 4 of the CD Additional Information About this loan. Also, be sure that, in the case of waived escrows, the reason box is also checked.</w:t>
      </w:r>
    </w:p>
    <w:p w:rsidR="00325107" w:rsidRDefault="00052DA0" w:rsidP="00305D6C">
      <w:pPr>
        <w:autoSpaceDE w:val="0"/>
        <w:autoSpaceDN w:val="0"/>
        <w:rPr>
          <w:rFonts w:ascii="Arial" w:hAnsi="Arial" w:cs="Arial"/>
          <w:color w:val="000000"/>
          <w:sz w:val="24"/>
          <w:szCs w:val="24"/>
        </w:rPr>
      </w:pPr>
      <w:r>
        <w:rPr>
          <w:noProof/>
        </w:rPr>
        <w:drawing>
          <wp:inline distT="0" distB="0" distL="0" distR="0" wp14:anchorId="06FFCA9C" wp14:editId="5E0F8778">
            <wp:extent cx="6210300" cy="1895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1895475"/>
                    </a:xfrm>
                    <a:prstGeom prst="rect">
                      <a:avLst/>
                    </a:prstGeom>
                  </pic:spPr>
                </pic:pic>
              </a:graphicData>
            </a:graphic>
          </wp:inline>
        </w:drawing>
      </w:r>
    </w:p>
    <w:p w:rsidR="00325107" w:rsidRPr="00305D6C" w:rsidRDefault="00325107" w:rsidP="00305D6C">
      <w:pPr>
        <w:pStyle w:val="ListParagraph"/>
        <w:numPr>
          <w:ilvl w:val="0"/>
          <w:numId w:val="16"/>
        </w:numPr>
        <w:autoSpaceDE w:val="0"/>
        <w:autoSpaceDN w:val="0"/>
        <w:ind w:left="360"/>
        <w:rPr>
          <w:rFonts w:ascii="Arial" w:hAnsi="Arial" w:cs="Arial"/>
          <w:color w:val="000000"/>
          <w:sz w:val="24"/>
          <w:szCs w:val="24"/>
        </w:rPr>
      </w:pPr>
      <w:r w:rsidRPr="00305D6C">
        <w:rPr>
          <w:rFonts w:ascii="Arial" w:hAnsi="Arial" w:cs="Arial"/>
          <w:color w:val="000000"/>
          <w:sz w:val="24"/>
          <w:szCs w:val="24"/>
        </w:rPr>
        <w:t>Escrowed Property Cost of Year 1</w:t>
      </w:r>
      <w:r w:rsidR="007D7D9D" w:rsidRPr="00305D6C">
        <w:rPr>
          <w:rFonts w:ascii="Arial" w:hAnsi="Arial" w:cs="Arial"/>
          <w:color w:val="000000"/>
          <w:sz w:val="24"/>
          <w:szCs w:val="24"/>
        </w:rPr>
        <w:t xml:space="preserve"> on page 4 should typically be equal to the “Monthly Escrow Payment” multiplied by 11 months (this is the number of scheduled payments in the first year after consummation).</w:t>
      </w:r>
    </w:p>
    <w:p w:rsidR="007D7D9D" w:rsidRDefault="00052DA0" w:rsidP="00052DA0">
      <w:pPr>
        <w:autoSpaceDE w:val="0"/>
        <w:autoSpaceDN w:val="0"/>
        <w:ind w:left="360"/>
        <w:rPr>
          <w:rFonts w:ascii="Arial" w:hAnsi="Arial" w:cs="Arial"/>
          <w:color w:val="000000"/>
          <w:sz w:val="24"/>
          <w:szCs w:val="24"/>
        </w:rPr>
      </w:pPr>
      <w:r>
        <w:rPr>
          <w:noProof/>
        </w:rPr>
        <w:drawing>
          <wp:inline distT="0" distB="0" distL="0" distR="0" wp14:anchorId="7CD61D1A" wp14:editId="7D96A0EB">
            <wp:extent cx="3819525" cy="3714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9525" cy="3714750"/>
                    </a:xfrm>
                    <a:prstGeom prst="rect">
                      <a:avLst/>
                    </a:prstGeom>
                  </pic:spPr>
                </pic:pic>
              </a:graphicData>
            </a:graphic>
          </wp:inline>
        </w:drawing>
      </w:r>
    </w:p>
    <w:p w:rsidR="00325107" w:rsidRPr="00305D6C" w:rsidRDefault="00325107" w:rsidP="00305D6C">
      <w:pPr>
        <w:pStyle w:val="ListParagraph"/>
        <w:numPr>
          <w:ilvl w:val="0"/>
          <w:numId w:val="16"/>
        </w:numPr>
        <w:autoSpaceDE w:val="0"/>
        <w:autoSpaceDN w:val="0"/>
        <w:ind w:left="360"/>
        <w:rPr>
          <w:rFonts w:ascii="Arial" w:hAnsi="Arial" w:cs="Arial"/>
          <w:color w:val="000000"/>
          <w:sz w:val="24"/>
          <w:szCs w:val="24"/>
        </w:rPr>
      </w:pPr>
      <w:r w:rsidRPr="00305D6C">
        <w:rPr>
          <w:rFonts w:ascii="Arial" w:hAnsi="Arial" w:cs="Arial"/>
          <w:color w:val="000000"/>
          <w:sz w:val="24"/>
          <w:szCs w:val="24"/>
        </w:rPr>
        <w:lastRenderedPageBreak/>
        <w:t>Ensure that all applicable check boxes are marked on Page 5 of the Other Disclosures section regarding Liability after Foreclosure.</w:t>
      </w:r>
    </w:p>
    <w:p w:rsidR="00325107" w:rsidRDefault="00325107" w:rsidP="00305D6C">
      <w:pPr>
        <w:autoSpaceDE w:val="0"/>
        <w:autoSpaceDN w:val="0"/>
        <w:rPr>
          <w:rFonts w:ascii="Arial" w:hAnsi="Arial" w:cs="Arial"/>
          <w:color w:val="000000"/>
          <w:sz w:val="24"/>
          <w:szCs w:val="24"/>
        </w:rPr>
      </w:pPr>
    </w:p>
    <w:p w:rsidR="00325107" w:rsidRPr="00305D6C" w:rsidRDefault="00325107" w:rsidP="00305D6C">
      <w:pPr>
        <w:pStyle w:val="ListParagraph"/>
        <w:numPr>
          <w:ilvl w:val="0"/>
          <w:numId w:val="16"/>
        </w:numPr>
        <w:autoSpaceDE w:val="0"/>
        <w:autoSpaceDN w:val="0"/>
        <w:ind w:left="360"/>
        <w:rPr>
          <w:rFonts w:ascii="Arial" w:hAnsi="Arial" w:cs="Arial"/>
          <w:color w:val="000000"/>
          <w:sz w:val="24"/>
          <w:szCs w:val="24"/>
        </w:rPr>
      </w:pPr>
      <w:r w:rsidRPr="00305D6C">
        <w:rPr>
          <w:rFonts w:ascii="Arial" w:hAnsi="Arial" w:cs="Arial"/>
          <w:color w:val="000000"/>
          <w:sz w:val="24"/>
          <w:szCs w:val="24"/>
        </w:rPr>
        <w:t>Ensure that all applicable fields and columns are completed on Page 5 Contact Information section.</w:t>
      </w:r>
    </w:p>
    <w:p w:rsidR="00EB790A" w:rsidRDefault="00A26432" w:rsidP="002A0499">
      <w:pPr>
        <w:autoSpaceDE w:val="0"/>
        <w:autoSpaceDN w:val="0"/>
        <w:rPr>
          <w:rFonts w:ascii="Arial" w:hAnsi="Arial" w:cs="Arial"/>
          <w:color w:val="000000"/>
          <w:sz w:val="24"/>
          <w:szCs w:val="24"/>
        </w:rPr>
      </w:pPr>
      <w:r>
        <w:rPr>
          <w:noProof/>
        </w:rPr>
        <w:drawing>
          <wp:inline distT="0" distB="0" distL="0" distR="0" wp14:anchorId="134A8127" wp14:editId="3CB58997">
            <wp:extent cx="6858000" cy="31927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192780"/>
                    </a:xfrm>
                    <a:prstGeom prst="rect">
                      <a:avLst/>
                    </a:prstGeom>
                  </pic:spPr>
                </pic:pic>
              </a:graphicData>
            </a:graphic>
          </wp:inline>
        </w:drawing>
      </w:r>
    </w:p>
    <w:p w:rsidR="00A26432" w:rsidRDefault="00A26432" w:rsidP="007D7D9D">
      <w:pPr>
        <w:autoSpaceDE w:val="0"/>
        <w:autoSpaceDN w:val="0"/>
        <w:rPr>
          <w:rFonts w:ascii="Arial" w:hAnsi="Arial" w:cs="Arial"/>
          <w:b/>
          <w:color w:val="000000"/>
          <w:sz w:val="24"/>
          <w:szCs w:val="24"/>
        </w:rPr>
      </w:pPr>
    </w:p>
    <w:p w:rsidR="007D7D9D" w:rsidRPr="007D7D9D" w:rsidRDefault="007D7D9D" w:rsidP="007D7D9D">
      <w:pPr>
        <w:autoSpaceDE w:val="0"/>
        <w:autoSpaceDN w:val="0"/>
        <w:rPr>
          <w:rFonts w:ascii="Arial" w:hAnsi="Arial" w:cs="Arial"/>
          <w:b/>
          <w:color w:val="000000"/>
          <w:sz w:val="24"/>
          <w:szCs w:val="24"/>
        </w:rPr>
      </w:pPr>
      <w:r w:rsidRPr="007D7D9D">
        <w:rPr>
          <w:rFonts w:ascii="Arial" w:hAnsi="Arial" w:cs="Arial"/>
          <w:b/>
          <w:color w:val="000000"/>
          <w:sz w:val="24"/>
          <w:szCs w:val="24"/>
        </w:rPr>
        <w:t>JUMBO LOAN ESTIMATES (LE) – This is in addition to the LE section above</w:t>
      </w:r>
    </w:p>
    <w:p w:rsidR="007D7D9D" w:rsidRDefault="007D7D9D" w:rsidP="007D7D9D">
      <w:pPr>
        <w:autoSpaceDE w:val="0"/>
        <w:autoSpaceDN w:val="0"/>
        <w:rPr>
          <w:rFonts w:ascii="Arial" w:hAnsi="Arial" w:cs="Arial"/>
          <w:color w:val="000000"/>
          <w:sz w:val="24"/>
          <w:szCs w:val="24"/>
        </w:rPr>
      </w:pPr>
    </w:p>
    <w:p w:rsidR="007D7D9D" w:rsidRPr="00305D6C" w:rsidRDefault="007D7D9D" w:rsidP="00305D6C">
      <w:pPr>
        <w:pStyle w:val="ListParagraph"/>
        <w:numPr>
          <w:ilvl w:val="0"/>
          <w:numId w:val="15"/>
        </w:numPr>
        <w:autoSpaceDE w:val="0"/>
        <w:autoSpaceDN w:val="0"/>
        <w:rPr>
          <w:rFonts w:ascii="Arial" w:hAnsi="Arial" w:cs="Arial"/>
          <w:color w:val="000000"/>
          <w:sz w:val="24"/>
          <w:szCs w:val="24"/>
        </w:rPr>
      </w:pPr>
      <w:r w:rsidRPr="00305D6C">
        <w:rPr>
          <w:rFonts w:ascii="Arial" w:hAnsi="Arial" w:cs="Arial"/>
          <w:color w:val="000000"/>
          <w:sz w:val="24"/>
          <w:szCs w:val="24"/>
        </w:rPr>
        <w:t>If there are no Lender Credit given to the borrower, then page1 Cost at Closing should be populated with $0 disclosed for lender credits (field should not be left blank). However, on page 2 of LE Section J, Lender Credits should be left blank when a Lender Credit is not given.</w:t>
      </w:r>
    </w:p>
    <w:p w:rsidR="00305D6C" w:rsidRDefault="00305D6C" w:rsidP="00052DA0">
      <w:pPr>
        <w:autoSpaceDE w:val="0"/>
        <w:autoSpaceDN w:val="0"/>
        <w:ind w:left="360"/>
        <w:rPr>
          <w:rFonts w:ascii="Arial" w:hAnsi="Arial" w:cs="Arial"/>
          <w:color w:val="000000"/>
          <w:sz w:val="24"/>
          <w:szCs w:val="24"/>
        </w:rPr>
      </w:pPr>
      <w:r>
        <w:rPr>
          <w:noProof/>
        </w:rPr>
        <w:drawing>
          <wp:inline distT="0" distB="0" distL="0" distR="0" wp14:anchorId="1736D028" wp14:editId="0BEFA852">
            <wp:extent cx="629602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6025" cy="2038350"/>
                    </a:xfrm>
                    <a:prstGeom prst="rect">
                      <a:avLst/>
                    </a:prstGeom>
                  </pic:spPr>
                </pic:pic>
              </a:graphicData>
            </a:graphic>
          </wp:inline>
        </w:drawing>
      </w:r>
    </w:p>
    <w:p w:rsidR="007D7D9D" w:rsidRDefault="007D7D9D" w:rsidP="007D7D9D">
      <w:pPr>
        <w:autoSpaceDE w:val="0"/>
        <w:autoSpaceDN w:val="0"/>
        <w:rPr>
          <w:rFonts w:ascii="Arial" w:hAnsi="Arial" w:cs="Arial"/>
          <w:color w:val="000000"/>
          <w:sz w:val="24"/>
          <w:szCs w:val="24"/>
        </w:rPr>
      </w:pPr>
      <w:bookmarkStart w:id="0" w:name="_GoBack"/>
      <w:bookmarkEnd w:id="0"/>
    </w:p>
    <w:p w:rsidR="007D7D9D" w:rsidRPr="00305D6C" w:rsidRDefault="007D7D9D" w:rsidP="00305D6C">
      <w:pPr>
        <w:pStyle w:val="ListParagraph"/>
        <w:numPr>
          <w:ilvl w:val="0"/>
          <w:numId w:val="15"/>
        </w:numPr>
        <w:autoSpaceDE w:val="0"/>
        <w:autoSpaceDN w:val="0"/>
        <w:rPr>
          <w:rFonts w:ascii="Arial" w:hAnsi="Arial" w:cs="Arial"/>
          <w:color w:val="000000"/>
          <w:sz w:val="24"/>
          <w:szCs w:val="24"/>
        </w:rPr>
      </w:pPr>
      <w:r w:rsidRPr="00305D6C">
        <w:rPr>
          <w:rFonts w:ascii="Arial" w:hAnsi="Arial" w:cs="Arial"/>
          <w:color w:val="000000"/>
          <w:sz w:val="24"/>
          <w:szCs w:val="24"/>
        </w:rPr>
        <w:t>In section # of the LE, Recording Fees and Transfer Taxes are disclosed. If the borrower does not pay for the Transfer Tax, then the amount field should be blank. Do not enter $0.</w:t>
      </w:r>
    </w:p>
    <w:p w:rsidR="00657BB4" w:rsidRPr="00773CDA" w:rsidRDefault="00305D6C" w:rsidP="00052DA0">
      <w:pPr>
        <w:ind w:left="360"/>
        <w:rPr>
          <w:rFonts w:ascii="Arial" w:hAnsi="Arial" w:cs="Arial"/>
          <w:b/>
          <w:sz w:val="24"/>
          <w:szCs w:val="24"/>
        </w:rPr>
      </w:pPr>
      <w:r>
        <w:rPr>
          <w:noProof/>
        </w:rPr>
        <w:drawing>
          <wp:inline distT="0" distB="0" distL="0" distR="0" wp14:anchorId="13456107" wp14:editId="33EA2BBF">
            <wp:extent cx="531495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4950" cy="1295400"/>
                    </a:xfrm>
                    <a:prstGeom prst="rect">
                      <a:avLst/>
                    </a:prstGeom>
                  </pic:spPr>
                </pic:pic>
              </a:graphicData>
            </a:graphic>
          </wp:inline>
        </w:drawing>
      </w:r>
    </w:p>
    <w:p w:rsidR="00E952B4" w:rsidRPr="00773CDA" w:rsidRDefault="00E952B4">
      <w:pPr>
        <w:rPr>
          <w:rFonts w:ascii="Arial" w:hAnsi="Arial" w:cs="Arial"/>
          <w:sz w:val="24"/>
          <w:szCs w:val="24"/>
        </w:rPr>
      </w:pPr>
      <w:r w:rsidRPr="00773CDA">
        <w:rPr>
          <w:rFonts w:ascii="Arial" w:hAnsi="Arial" w:cs="Arial"/>
          <w:sz w:val="24"/>
          <w:szCs w:val="24"/>
        </w:rPr>
        <w:t>As always, your business is greatly appreciated. If you have questions regarding these issues, please contact me at abreidenbach@houseloan.com.</w:t>
      </w:r>
    </w:p>
    <w:sectPr w:rsidR="00E952B4" w:rsidRPr="00773CDA" w:rsidSect="00C432F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4" w:rsidRDefault="00E952B4" w:rsidP="00E952B4">
      <w:r>
        <w:separator/>
      </w:r>
    </w:p>
  </w:endnote>
  <w:endnote w:type="continuationSeparator" w:id="0">
    <w:p w:rsidR="00E952B4" w:rsidRDefault="00E952B4" w:rsidP="00E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4" w:rsidRDefault="00E952B4" w:rsidP="00E952B4">
      <w:r>
        <w:separator/>
      </w:r>
    </w:p>
  </w:footnote>
  <w:footnote w:type="continuationSeparator" w:id="0">
    <w:p w:rsidR="00E952B4" w:rsidRDefault="00E952B4" w:rsidP="00E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7C"/>
    <w:multiLevelType w:val="hybridMultilevel"/>
    <w:tmpl w:val="B7F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731"/>
    <w:multiLevelType w:val="hybridMultilevel"/>
    <w:tmpl w:val="21C84B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E71B0"/>
    <w:multiLevelType w:val="hybridMultilevel"/>
    <w:tmpl w:val="997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047"/>
    <w:multiLevelType w:val="hybridMultilevel"/>
    <w:tmpl w:val="0B9CD838"/>
    <w:lvl w:ilvl="0" w:tplc="AED47B0C">
      <w:start w:val="8"/>
      <w:numFmt w:val="bullet"/>
      <w:lvlText w:val=""/>
      <w:lvlJc w:val="left"/>
      <w:pPr>
        <w:ind w:left="720" w:hanging="360"/>
      </w:pPr>
      <w:rPr>
        <w:rFonts w:ascii="SymbolMT" w:eastAsiaTheme="minorHAnsi" w:hAnsi="Symbol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264"/>
    <w:multiLevelType w:val="hybridMultilevel"/>
    <w:tmpl w:val="AADC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04A52"/>
    <w:multiLevelType w:val="hybridMultilevel"/>
    <w:tmpl w:val="DD96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D6EB6"/>
    <w:multiLevelType w:val="hybridMultilevel"/>
    <w:tmpl w:val="FDB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A1680"/>
    <w:multiLevelType w:val="hybridMultilevel"/>
    <w:tmpl w:val="9E3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716CA"/>
    <w:multiLevelType w:val="hybridMultilevel"/>
    <w:tmpl w:val="94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B7B24"/>
    <w:multiLevelType w:val="hybridMultilevel"/>
    <w:tmpl w:val="E93C2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E5A28"/>
    <w:multiLevelType w:val="hybridMultilevel"/>
    <w:tmpl w:val="235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C3AE4"/>
    <w:multiLevelType w:val="hybridMultilevel"/>
    <w:tmpl w:val="0464E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C7F0D"/>
    <w:multiLevelType w:val="hybridMultilevel"/>
    <w:tmpl w:val="B65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B1CF6"/>
    <w:multiLevelType w:val="hybridMultilevel"/>
    <w:tmpl w:val="912CB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74236"/>
    <w:multiLevelType w:val="hybridMultilevel"/>
    <w:tmpl w:val="C2B8A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974F0"/>
    <w:multiLevelType w:val="hybridMultilevel"/>
    <w:tmpl w:val="9738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12"/>
  </w:num>
  <w:num w:numId="6">
    <w:abstractNumId w:val="3"/>
  </w:num>
  <w:num w:numId="7">
    <w:abstractNumId w:val="6"/>
  </w:num>
  <w:num w:numId="8">
    <w:abstractNumId w:val="2"/>
  </w:num>
  <w:num w:numId="9">
    <w:abstractNumId w:val="7"/>
  </w:num>
  <w:num w:numId="10">
    <w:abstractNumId w:val="8"/>
  </w:num>
  <w:num w:numId="11">
    <w:abstractNumId w:val="5"/>
  </w:num>
  <w:num w:numId="12">
    <w:abstractNumId w:val="9"/>
  </w:num>
  <w:num w:numId="13">
    <w:abstractNumId w:val="11"/>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5"/>
    <w:rsid w:val="000144FF"/>
    <w:rsid w:val="00052DA0"/>
    <w:rsid w:val="00200099"/>
    <w:rsid w:val="002A0499"/>
    <w:rsid w:val="002C2285"/>
    <w:rsid w:val="002E56BF"/>
    <w:rsid w:val="002E64F7"/>
    <w:rsid w:val="00305D6C"/>
    <w:rsid w:val="00325107"/>
    <w:rsid w:val="003927F5"/>
    <w:rsid w:val="003B294A"/>
    <w:rsid w:val="004E5075"/>
    <w:rsid w:val="00572550"/>
    <w:rsid w:val="00645F24"/>
    <w:rsid w:val="00657BB4"/>
    <w:rsid w:val="006F16D5"/>
    <w:rsid w:val="00753C7A"/>
    <w:rsid w:val="0075758B"/>
    <w:rsid w:val="00773CDA"/>
    <w:rsid w:val="00777937"/>
    <w:rsid w:val="007D7D9D"/>
    <w:rsid w:val="00A26432"/>
    <w:rsid w:val="00B73DFB"/>
    <w:rsid w:val="00B9661F"/>
    <w:rsid w:val="00C432F1"/>
    <w:rsid w:val="00C66A15"/>
    <w:rsid w:val="00D50330"/>
    <w:rsid w:val="00D86BB0"/>
    <w:rsid w:val="00DD3009"/>
    <w:rsid w:val="00E64DF3"/>
    <w:rsid w:val="00E952B4"/>
    <w:rsid w:val="00EB4FE9"/>
    <w:rsid w:val="00EB790A"/>
    <w:rsid w:val="00F7445E"/>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2E01C-D517-4F3A-8636-6FA5217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75"/>
    <w:pPr>
      <w:ind w:left="720"/>
      <w:contextualSpacing/>
    </w:pPr>
  </w:style>
  <w:style w:type="paragraph" w:styleId="Header">
    <w:name w:val="header"/>
    <w:basedOn w:val="Normal"/>
    <w:link w:val="HeaderChar"/>
    <w:uiPriority w:val="99"/>
    <w:unhideWhenUsed/>
    <w:rsid w:val="00E952B4"/>
    <w:pPr>
      <w:tabs>
        <w:tab w:val="center" w:pos="4680"/>
        <w:tab w:val="right" w:pos="9360"/>
      </w:tabs>
    </w:pPr>
  </w:style>
  <w:style w:type="character" w:customStyle="1" w:styleId="HeaderChar">
    <w:name w:val="Header Char"/>
    <w:basedOn w:val="DefaultParagraphFont"/>
    <w:link w:val="Header"/>
    <w:uiPriority w:val="99"/>
    <w:rsid w:val="00E952B4"/>
    <w:rPr>
      <w:rFonts w:ascii="Calibri" w:hAnsi="Calibri" w:cs="Times New Roman"/>
    </w:rPr>
  </w:style>
  <w:style w:type="paragraph" w:styleId="Footer">
    <w:name w:val="footer"/>
    <w:basedOn w:val="Normal"/>
    <w:link w:val="FooterChar"/>
    <w:uiPriority w:val="99"/>
    <w:unhideWhenUsed/>
    <w:rsid w:val="00E952B4"/>
    <w:pPr>
      <w:tabs>
        <w:tab w:val="center" w:pos="4680"/>
        <w:tab w:val="right" w:pos="9360"/>
      </w:tabs>
    </w:pPr>
  </w:style>
  <w:style w:type="character" w:customStyle="1" w:styleId="FooterChar">
    <w:name w:val="Footer Char"/>
    <w:basedOn w:val="DefaultParagraphFont"/>
    <w:link w:val="Footer"/>
    <w:uiPriority w:val="99"/>
    <w:rsid w:val="00E952B4"/>
    <w:rPr>
      <w:rFonts w:ascii="Calibri" w:hAnsi="Calibri" w:cs="Times New Roman"/>
    </w:rPr>
  </w:style>
  <w:style w:type="paragraph" w:styleId="BalloonText">
    <w:name w:val="Balloon Text"/>
    <w:basedOn w:val="Normal"/>
    <w:link w:val="BalloonTextChar"/>
    <w:uiPriority w:val="99"/>
    <w:semiHidden/>
    <w:unhideWhenUsed/>
    <w:rsid w:val="00E952B4"/>
    <w:rPr>
      <w:rFonts w:ascii="Tahoma" w:hAnsi="Tahoma" w:cs="Tahoma"/>
      <w:sz w:val="16"/>
      <w:szCs w:val="16"/>
    </w:rPr>
  </w:style>
  <w:style w:type="character" w:customStyle="1" w:styleId="BalloonTextChar">
    <w:name w:val="Balloon Text Char"/>
    <w:basedOn w:val="DefaultParagraphFont"/>
    <w:link w:val="BalloonText"/>
    <w:uiPriority w:val="99"/>
    <w:semiHidden/>
    <w:rsid w:val="00E952B4"/>
    <w:rPr>
      <w:rFonts w:ascii="Tahoma" w:hAnsi="Tahoma" w:cs="Tahoma"/>
      <w:sz w:val="16"/>
      <w:szCs w:val="16"/>
    </w:rPr>
  </w:style>
  <w:style w:type="character" w:styleId="Hyperlink">
    <w:name w:val="Hyperlink"/>
    <w:basedOn w:val="DefaultParagraphFont"/>
    <w:uiPriority w:val="99"/>
    <w:unhideWhenUsed/>
    <w:rsid w:val="00657BB4"/>
    <w:rPr>
      <w:color w:val="0000FF" w:themeColor="hyperlink"/>
      <w:u w:val="single"/>
    </w:rPr>
  </w:style>
  <w:style w:type="table" w:styleId="TableGrid">
    <w:name w:val="Table Grid"/>
    <w:basedOn w:val="TableNormal"/>
    <w:uiPriority w:val="59"/>
    <w:rsid w:val="0065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760">
      <w:bodyDiv w:val="1"/>
      <w:marLeft w:val="0"/>
      <w:marRight w:val="0"/>
      <w:marTop w:val="0"/>
      <w:marBottom w:val="0"/>
      <w:divBdr>
        <w:top w:val="none" w:sz="0" w:space="0" w:color="auto"/>
        <w:left w:val="none" w:sz="0" w:space="0" w:color="auto"/>
        <w:bottom w:val="none" w:sz="0" w:space="0" w:color="auto"/>
        <w:right w:val="none" w:sz="0" w:space="0" w:color="auto"/>
      </w:divBdr>
    </w:div>
    <w:div w:id="655691982">
      <w:bodyDiv w:val="1"/>
      <w:marLeft w:val="0"/>
      <w:marRight w:val="0"/>
      <w:marTop w:val="0"/>
      <w:marBottom w:val="0"/>
      <w:divBdr>
        <w:top w:val="none" w:sz="0" w:space="0" w:color="auto"/>
        <w:left w:val="none" w:sz="0" w:space="0" w:color="auto"/>
        <w:bottom w:val="none" w:sz="0" w:space="0" w:color="auto"/>
        <w:right w:val="none" w:sz="0" w:space="0" w:color="auto"/>
      </w:divBdr>
    </w:div>
    <w:div w:id="1299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Breidenbach, Angela</dc:creator>
  <cp:lastModifiedBy>Breidenbach, Angela</cp:lastModifiedBy>
  <cp:revision>5</cp:revision>
  <dcterms:created xsi:type="dcterms:W3CDTF">2015-12-28T17:36:00Z</dcterms:created>
  <dcterms:modified xsi:type="dcterms:W3CDTF">2015-12-28T18:47:00Z</dcterms:modified>
</cp:coreProperties>
</file>